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9CA8A" w14:textId="77777777" w:rsidR="00AE4D8F" w:rsidRDefault="00AE4D8F" w:rsidP="009642A5">
      <w:pPr>
        <w:pStyle w:val="NoSpacing"/>
        <w:rPr>
          <w:rFonts w:ascii="Arial" w:hAnsi="Arial" w:cs="Arial"/>
          <w:sz w:val="24"/>
          <w:szCs w:val="24"/>
        </w:rPr>
      </w:pPr>
    </w:p>
    <w:p w14:paraId="0D1AB945" w14:textId="77777777" w:rsidR="00B76F67" w:rsidRPr="0068012E" w:rsidRDefault="00B76F67" w:rsidP="00B76F67">
      <w:pPr>
        <w:jc w:val="center"/>
        <w:rPr>
          <w:b/>
          <w:bCs/>
          <w:sz w:val="28"/>
          <w:szCs w:val="28"/>
        </w:rPr>
      </w:pPr>
      <w:r w:rsidRPr="0068012E">
        <w:rPr>
          <w:b/>
          <w:bCs/>
          <w:sz w:val="28"/>
          <w:szCs w:val="28"/>
        </w:rPr>
        <w:t>Research Involving SARS-CoV-2</w:t>
      </w:r>
    </w:p>
    <w:p w14:paraId="55423B58" w14:textId="1DDB8953" w:rsidR="00B76F67" w:rsidRDefault="00B76F67" w:rsidP="00B76F67">
      <w:pPr>
        <w:jc w:val="center"/>
        <w:rPr>
          <w:b/>
          <w:bCs/>
        </w:rPr>
      </w:pPr>
      <w:r>
        <w:rPr>
          <w:b/>
          <w:bCs/>
        </w:rPr>
        <w:t>2/6/2025</w:t>
      </w:r>
    </w:p>
    <w:p w14:paraId="7D7FAEDB" w14:textId="77777777" w:rsidR="004D7ADC" w:rsidRDefault="004D7ADC" w:rsidP="00111E22">
      <w:pPr>
        <w:spacing w:after="0" w:line="240" w:lineRule="auto"/>
        <w:rPr>
          <w:b/>
          <w:bCs/>
          <w:sz w:val="24"/>
          <w:szCs w:val="24"/>
        </w:rPr>
      </w:pPr>
    </w:p>
    <w:p w14:paraId="2DACCB2F" w14:textId="6A69F242" w:rsidR="00111E22" w:rsidRPr="00111E22" w:rsidRDefault="00B76F67" w:rsidP="00111E22">
      <w:pPr>
        <w:spacing w:after="0" w:line="240" w:lineRule="auto"/>
        <w:rPr>
          <w:b/>
          <w:bCs/>
          <w:sz w:val="24"/>
          <w:szCs w:val="24"/>
        </w:rPr>
      </w:pPr>
      <w:r w:rsidRPr="00E307E8">
        <w:rPr>
          <w:b/>
          <w:bCs/>
          <w:sz w:val="24"/>
          <w:szCs w:val="24"/>
        </w:rPr>
        <w:t>Background</w:t>
      </w:r>
    </w:p>
    <w:p w14:paraId="3E89F991" w14:textId="59054547" w:rsidR="00111E22" w:rsidRDefault="00B76F67" w:rsidP="00111E22">
      <w:pPr>
        <w:spacing w:after="160"/>
      </w:pPr>
      <w:r>
        <w:t>The following update was released on December 20, 2024. As stated by the National Institutes of Health (NIH) Office of Science Policy</w:t>
      </w:r>
      <w:r w:rsidR="00111E22">
        <w:t>:</w:t>
      </w:r>
    </w:p>
    <w:p w14:paraId="6CFC85F5" w14:textId="7750357A" w:rsidR="00B76F67" w:rsidRPr="00E307E8" w:rsidRDefault="00B76F67" w:rsidP="00111E22">
      <w:pPr>
        <w:spacing w:after="160"/>
      </w:pPr>
      <w:r>
        <w:t xml:space="preserve"> “</w:t>
      </w:r>
      <w:r w:rsidRPr="00E307E8">
        <w:t xml:space="preserve">In May 2020, the CDC issued Interim Laboratory Biosafety Guidelines for Handling and Processing Specimens Associated with Coronavirus Disease 2019 indicating that they should be handled in Biosafety Level 3 (BL) facilities, given the COVID-19 outbreak at the time, the unknown properties of SARS-CoV-2, and the data available at that time. Following CDC’s issuance of its Interim Guidelines, the NIH Office of Science Policy (OSP) issued companion guidance to align with CDC’s assessment. The NIH Interim Guidance stated that </w:t>
      </w:r>
      <w:r w:rsidR="00BD4231">
        <w:t>‘</w:t>
      </w:r>
      <w:r w:rsidRPr="00E307E8">
        <w:t>SARS-CoV-2 best meets the definition of a RG3 agent and Institutional Biosafety Committees (IBCs) should consider the agent to be RG3 as a starting point in their risk assessments when reviewing research subject to the </w:t>
      </w:r>
      <w:r w:rsidRPr="00E307E8">
        <w:rPr>
          <w:i/>
          <w:iCs/>
        </w:rPr>
        <w:t>NIH Guidelines for Research Involving Recombinant or Synthetic Nucleic Acid Molecules (NIH Guidelines)</w:t>
      </w:r>
      <w:r w:rsidRPr="00E307E8">
        <w:t>.</w:t>
      </w:r>
      <w:r w:rsidR="00BD4231">
        <w:t>’</w:t>
      </w:r>
    </w:p>
    <w:p w14:paraId="2EABFF84" w14:textId="5E9D86FA" w:rsidR="00B76F67" w:rsidRDefault="00B76F67" w:rsidP="00111E22">
      <w:r w:rsidRPr="00E307E8">
        <w:t>Over the course of the last several years, researchers, biosafety professionals, and biosecurity experts have continued to monitor the scientific landscape as it has evolved. An interagency working group reviewed updated information about the virus, population immunity and the availability of medical countermeasures to culminate in a scientifically rigorous and extensive re-evaluation to determine if the elevated handling criteria should remain in place. Informed by the assessment of that group, CDC has rescinded their interim elevated BL3 guidance, and to align NIH has rescinded the interim RG classification. As such, IBCs should consider the agent to be RG2 as a starting point in their risk assessments when reviewing research subject to the </w:t>
      </w:r>
      <w:r w:rsidRPr="00E307E8">
        <w:rPr>
          <w:i/>
          <w:iCs/>
        </w:rPr>
        <w:t>NIH Guidelines</w:t>
      </w:r>
      <w:r w:rsidRPr="00E307E8">
        <w:t>.</w:t>
      </w:r>
      <w:r>
        <w:t xml:space="preserve">” </w:t>
      </w:r>
    </w:p>
    <w:p w14:paraId="0D9F0E5F" w14:textId="5388407A" w:rsidR="00B76F67" w:rsidRPr="00111E22" w:rsidRDefault="00B76F67" w:rsidP="00111E22">
      <w:pPr>
        <w:spacing w:after="0"/>
        <w:rPr>
          <w:b/>
          <w:bCs/>
          <w:sz w:val="24"/>
          <w:szCs w:val="24"/>
        </w:rPr>
      </w:pPr>
      <w:r w:rsidRPr="00E307E8">
        <w:rPr>
          <w:b/>
          <w:bCs/>
          <w:sz w:val="24"/>
          <w:szCs w:val="24"/>
        </w:rPr>
        <w:t>R</w:t>
      </w:r>
      <w:r w:rsidR="00E77F4D">
        <w:rPr>
          <w:b/>
          <w:bCs/>
          <w:sz w:val="24"/>
          <w:szCs w:val="24"/>
        </w:rPr>
        <w:t>isk Group (R</w:t>
      </w:r>
      <w:r w:rsidRPr="00E307E8">
        <w:rPr>
          <w:b/>
          <w:bCs/>
          <w:sz w:val="24"/>
          <w:szCs w:val="24"/>
        </w:rPr>
        <w:t>G</w:t>
      </w:r>
      <w:r w:rsidR="00E77F4D">
        <w:rPr>
          <w:b/>
          <w:bCs/>
          <w:sz w:val="24"/>
          <w:szCs w:val="24"/>
        </w:rPr>
        <w:t>)</w:t>
      </w:r>
      <w:r w:rsidRPr="00E307E8">
        <w:rPr>
          <w:b/>
          <w:bCs/>
          <w:sz w:val="24"/>
          <w:szCs w:val="24"/>
        </w:rPr>
        <w:t xml:space="preserve"> </w:t>
      </w:r>
      <w:r w:rsidR="00DD6D53">
        <w:rPr>
          <w:b/>
          <w:bCs/>
          <w:sz w:val="24"/>
          <w:szCs w:val="24"/>
        </w:rPr>
        <w:t>C</w:t>
      </w:r>
      <w:r w:rsidRPr="00E307E8">
        <w:rPr>
          <w:b/>
          <w:bCs/>
          <w:sz w:val="24"/>
          <w:szCs w:val="24"/>
        </w:rPr>
        <w:t>lassification for SARS-CoV-2 in the </w:t>
      </w:r>
      <w:r w:rsidRPr="00E307E8">
        <w:rPr>
          <w:b/>
          <w:bCs/>
          <w:i/>
          <w:iCs/>
          <w:sz w:val="24"/>
          <w:szCs w:val="24"/>
        </w:rPr>
        <w:t>NIH Guidelines</w:t>
      </w:r>
    </w:p>
    <w:p w14:paraId="3C8EBF79" w14:textId="7D2DFBDE" w:rsidR="00E32A49" w:rsidRDefault="007A5F1A" w:rsidP="007A5F1A">
      <w:r>
        <w:t>As of December 20, 2024, after reviewing the current pathogen characteristics and population impact the N</w:t>
      </w:r>
      <w:r w:rsidR="00E32A49">
        <w:t xml:space="preserve">IH </w:t>
      </w:r>
      <w:r>
        <w:t>downgraded SARS-CoV-2 to RG2</w:t>
      </w:r>
      <w:r w:rsidR="00E32A49">
        <w:t xml:space="preserve"> and the Centers for Disease Control (CDC) recommend work conducted at BSL2 at a minimum.</w:t>
      </w:r>
    </w:p>
    <w:p w14:paraId="29F7004B" w14:textId="7D7AF8A6" w:rsidR="00B76F67" w:rsidRDefault="00B76F67" w:rsidP="007A5F1A">
      <w:r w:rsidRPr="00E307E8">
        <w:t>SARS-CoV and Middle East Respiratory Syndrome (MERS-</w:t>
      </w:r>
      <w:proofErr w:type="spellStart"/>
      <w:r w:rsidRPr="00E307E8">
        <w:t>CoV</w:t>
      </w:r>
      <w:proofErr w:type="spellEnd"/>
      <w:r w:rsidRPr="00E307E8">
        <w:t>), are specifically listed as RG3 agents in Appendix B-III-D, all other coronaviruses, including SARS-CoV-2, are classified under the existing RG2 category for Coronaviruses in Appendix B-II-D.</w:t>
      </w:r>
      <w:r w:rsidR="00E32A49">
        <w:t xml:space="preserve"> </w:t>
      </w:r>
    </w:p>
    <w:p w14:paraId="44C90D34" w14:textId="0C0A1A1C" w:rsidR="00B76F67" w:rsidRPr="00111E22" w:rsidRDefault="00B76F67" w:rsidP="00111E22">
      <w:pPr>
        <w:spacing w:after="0"/>
        <w:rPr>
          <w:b/>
          <w:bCs/>
          <w:sz w:val="24"/>
          <w:szCs w:val="24"/>
        </w:rPr>
      </w:pPr>
      <w:r w:rsidRPr="00111E22">
        <w:rPr>
          <w:b/>
          <w:bCs/>
          <w:sz w:val="24"/>
          <w:szCs w:val="24"/>
        </w:rPr>
        <w:t xml:space="preserve">University of Michigan (U-M) </w:t>
      </w:r>
      <w:r w:rsidR="00DD6D53">
        <w:rPr>
          <w:b/>
          <w:bCs/>
          <w:sz w:val="24"/>
          <w:szCs w:val="24"/>
        </w:rPr>
        <w:t>R</w:t>
      </w:r>
      <w:r w:rsidRPr="00111E22">
        <w:rPr>
          <w:b/>
          <w:bCs/>
          <w:sz w:val="24"/>
          <w:szCs w:val="24"/>
        </w:rPr>
        <w:t xml:space="preserve">equirements for </w:t>
      </w:r>
      <w:r w:rsidR="00DD6D53">
        <w:rPr>
          <w:b/>
          <w:bCs/>
          <w:sz w:val="24"/>
          <w:szCs w:val="24"/>
        </w:rPr>
        <w:t>P</w:t>
      </w:r>
      <w:r w:rsidRPr="00111E22">
        <w:rPr>
          <w:b/>
          <w:bCs/>
          <w:sz w:val="24"/>
          <w:szCs w:val="24"/>
        </w:rPr>
        <w:t xml:space="preserve">erforming SARS-CoV-2 </w:t>
      </w:r>
      <w:r w:rsidR="00DD6D53">
        <w:rPr>
          <w:b/>
          <w:bCs/>
          <w:sz w:val="24"/>
          <w:szCs w:val="24"/>
        </w:rPr>
        <w:t>R</w:t>
      </w:r>
      <w:r w:rsidRPr="00111E22">
        <w:rPr>
          <w:b/>
          <w:bCs/>
          <w:sz w:val="24"/>
          <w:szCs w:val="24"/>
        </w:rPr>
        <w:t xml:space="preserve">esearch </w:t>
      </w:r>
    </w:p>
    <w:p w14:paraId="4286ECC2" w14:textId="77777777" w:rsidR="00E32A49" w:rsidRDefault="00B76F67" w:rsidP="00111E22">
      <w:r w:rsidRPr="00E307E8">
        <w:t xml:space="preserve">As </w:t>
      </w:r>
      <w:r>
        <w:t xml:space="preserve">determined by a facility specific risk assessment </w:t>
      </w:r>
      <w:r w:rsidR="00E32A49">
        <w:t xml:space="preserve">using RG2 as a starting point, </w:t>
      </w:r>
      <w:r>
        <w:t xml:space="preserve">and in consultation with the </w:t>
      </w:r>
      <w:r w:rsidR="00C92BE0">
        <w:t>Institutional Biosafety Committee (</w:t>
      </w:r>
      <w:r>
        <w:t>IBC</w:t>
      </w:r>
      <w:r w:rsidR="00C92BE0">
        <w:t>)</w:t>
      </w:r>
      <w:r>
        <w:t xml:space="preserve"> and Principal Investigator Subject Matter Experts, U-M </w:t>
      </w:r>
    </w:p>
    <w:p w14:paraId="4FA8C51C" w14:textId="77777777" w:rsidR="00E32A49" w:rsidRDefault="00E32A49" w:rsidP="00111E22"/>
    <w:p w14:paraId="700C6F69" w14:textId="6F4E1D80" w:rsidR="00B76F67" w:rsidRDefault="00B76F67" w:rsidP="00111E22">
      <w:r>
        <w:lastRenderedPageBreak/>
        <w:t>will consider SARS-CoV-2 as RG2 and BSL2/ABSL2 with enhancements. Research will be conducted in the dedicated SARS-CoV-2 research space</w:t>
      </w:r>
      <w:r w:rsidR="00C923C2">
        <w:t xml:space="preserve">, now classified as enhanced BSL2/ABSL2. </w:t>
      </w:r>
    </w:p>
    <w:p w14:paraId="3B2FA760" w14:textId="71BA1536" w:rsidR="00111E22" w:rsidRDefault="00B76F67" w:rsidP="00111E22">
      <w:r>
        <w:t>Principal Investigators currently approved to work with SARS-CoV-2 at BSL3/ABSL3 must amend the IBC Protocol</w:t>
      </w:r>
      <w:r w:rsidR="005426A5">
        <w:t xml:space="preserve"> and Animal Use Protocol (if applicable)</w:t>
      </w:r>
      <w:r>
        <w:t xml:space="preserve"> to change this work to BSL2/ABSL2. </w:t>
      </w:r>
      <w:r w:rsidR="00C923C2">
        <w:t xml:space="preserve">This amendment will be reviewed and a </w:t>
      </w:r>
      <w:r w:rsidR="00111E22">
        <w:t xml:space="preserve">comprehensive </w:t>
      </w:r>
      <w:r w:rsidR="007A5F1A">
        <w:t>r</w:t>
      </w:r>
      <w:r w:rsidR="00C923C2">
        <w:t xml:space="preserve">isk assessment </w:t>
      </w:r>
      <w:r w:rsidR="00111E22">
        <w:t xml:space="preserve">of the work performed. </w:t>
      </w:r>
      <w:r w:rsidR="00111E22" w:rsidRPr="00E307E8">
        <w:t xml:space="preserve">Based on the risk assessment of a specific research protocol, the IBC may require </w:t>
      </w:r>
      <w:r w:rsidR="00111E22">
        <w:t xml:space="preserve">further </w:t>
      </w:r>
      <w:r w:rsidR="00111E22" w:rsidRPr="00E307E8">
        <w:t>enhancements or a higher level of containment</w:t>
      </w:r>
      <w:r w:rsidR="00111E22">
        <w:t xml:space="preserve">. </w:t>
      </w:r>
    </w:p>
    <w:p w14:paraId="38258C89" w14:textId="13B9D07B" w:rsidR="00A217BF" w:rsidRPr="00A217BF" w:rsidRDefault="00A217BF" w:rsidP="00A217BF">
      <w:pPr>
        <w:spacing w:after="0"/>
        <w:rPr>
          <w:b/>
          <w:bCs/>
          <w:sz w:val="24"/>
          <w:szCs w:val="24"/>
        </w:rPr>
      </w:pPr>
      <w:r>
        <w:rPr>
          <w:b/>
          <w:bCs/>
          <w:sz w:val="24"/>
          <w:szCs w:val="24"/>
        </w:rPr>
        <w:t>SARS-CoV-2 Enhanced Facility</w:t>
      </w:r>
    </w:p>
    <w:p w14:paraId="40F29A1E" w14:textId="044D3AD0" w:rsidR="00A217BF" w:rsidRDefault="00A217BF" w:rsidP="00111E22">
      <w:pPr>
        <w:spacing w:after="0"/>
      </w:pPr>
      <w:r w:rsidRPr="00A217BF">
        <w:t>Th</w:t>
      </w:r>
      <w:r>
        <w:t xml:space="preserve">e </w:t>
      </w:r>
      <w:r w:rsidRPr="00A217BF">
        <w:t>dedicated</w:t>
      </w:r>
      <w:r>
        <w:t xml:space="preserve"> </w:t>
      </w:r>
      <w:r w:rsidRPr="00A217BF">
        <w:t>SARS-CoV-2 Facilities are defined as enhanced BSL2 or enhanced ABSL2</w:t>
      </w:r>
      <w:r>
        <w:t xml:space="preserve"> laboratories</w:t>
      </w:r>
      <w:r w:rsidRPr="00A217BF">
        <w:t xml:space="preserve">. </w:t>
      </w:r>
      <w:r>
        <w:t>All standard</w:t>
      </w:r>
      <w:r w:rsidRPr="00A217BF">
        <w:t xml:space="preserve"> </w:t>
      </w:r>
      <w:r>
        <w:t xml:space="preserve">U-M </w:t>
      </w:r>
      <w:r w:rsidRPr="00A217BF">
        <w:t xml:space="preserve">BSL2 practices and policies will apply. The enhanced BSL2/ABSL2 builds upon BSL2 practices and procedures </w:t>
      </w:r>
      <w:r w:rsidR="0070495F">
        <w:t xml:space="preserve">with </w:t>
      </w:r>
      <w:r w:rsidR="0071456C">
        <w:t xml:space="preserve">the </w:t>
      </w:r>
      <w:r w:rsidR="0070495F">
        <w:t>additio</w:t>
      </w:r>
      <w:r w:rsidR="0071456C">
        <w:t>n of</w:t>
      </w:r>
      <w:r w:rsidR="0070495F">
        <w:t xml:space="preserve"> practices and modified PPE requirements that are often used in higher containment level laboratories. </w:t>
      </w:r>
    </w:p>
    <w:p w14:paraId="56776338" w14:textId="77777777" w:rsidR="00A217BF" w:rsidRPr="00A217BF" w:rsidRDefault="00A217BF" w:rsidP="00111E22">
      <w:pPr>
        <w:spacing w:after="0"/>
      </w:pPr>
    </w:p>
    <w:p w14:paraId="3F25D7D9" w14:textId="5B0EF9A9" w:rsidR="00B76F67" w:rsidRPr="00A217BF" w:rsidRDefault="00B76F67" w:rsidP="00111E22">
      <w:pPr>
        <w:spacing w:after="0"/>
        <w:rPr>
          <w:b/>
          <w:bCs/>
          <w:sz w:val="24"/>
          <w:szCs w:val="24"/>
        </w:rPr>
      </w:pPr>
      <w:r w:rsidRPr="00A217BF">
        <w:rPr>
          <w:b/>
          <w:bCs/>
          <w:sz w:val="24"/>
          <w:szCs w:val="24"/>
        </w:rPr>
        <w:t xml:space="preserve">Facility Work practices </w:t>
      </w:r>
    </w:p>
    <w:p w14:paraId="29D6703B" w14:textId="77777777" w:rsidR="00B76F67" w:rsidRDefault="00B76F67" w:rsidP="00B76F67">
      <w:pPr>
        <w:pStyle w:val="ListParagraph"/>
        <w:numPr>
          <w:ilvl w:val="0"/>
          <w:numId w:val="3"/>
        </w:numPr>
      </w:pPr>
      <w:r>
        <w:t>Conduct aerosol generating procedures in a BSC or other containment device</w:t>
      </w:r>
    </w:p>
    <w:p w14:paraId="783EB5BC" w14:textId="0F9A2BD8" w:rsidR="00320BD1" w:rsidRDefault="00320BD1" w:rsidP="00B76F67">
      <w:pPr>
        <w:pStyle w:val="ListParagraph"/>
        <w:numPr>
          <w:ilvl w:val="0"/>
          <w:numId w:val="3"/>
        </w:numPr>
      </w:pPr>
      <w:r>
        <w:t>Minimize the use of sharps</w:t>
      </w:r>
    </w:p>
    <w:p w14:paraId="229C5D74" w14:textId="2D1E5952" w:rsidR="00B76F67" w:rsidRDefault="00B76F67" w:rsidP="00B76F67">
      <w:pPr>
        <w:pStyle w:val="ListParagraph"/>
        <w:numPr>
          <w:ilvl w:val="0"/>
          <w:numId w:val="3"/>
        </w:numPr>
      </w:pPr>
      <w:r w:rsidRPr="006E1FD3">
        <w:t>Validation/verification of inactivation and</w:t>
      </w:r>
      <w:r w:rsidR="00751D15">
        <w:t xml:space="preserve"> EHS</w:t>
      </w:r>
      <w:r w:rsidRPr="006E1FD3">
        <w:t xml:space="preserve"> approval prior to removal of samples is no longer needed</w:t>
      </w:r>
    </w:p>
    <w:p w14:paraId="11D3FEB7" w14:textId="44DDA3E1" w:rsidR="00C923C2" w:rsidRDefault="00C923C2" w:rsidP="00B76F67">
      <w:pPr>
        <w:pStyle w:val="ListParagraph"/>
        <w:numPr>
          <w:ilvl w:val="0"/>
          <w:numId w:val="3"/>
        </w:numPr>
      </w:pPr>
      <w:r>
        <w:t xml:space="preserve">Inactivation of samples is still recommended for removal and further work outside of the dedicated facility </w:t>
      </w:r>
    </w:p>
    <w:p w14:paraId="63B9F2B2" w14:textId="21189304" w:rsidR="00B76F67" w:rsidRDefault="009B2657" w:rsidP="00B76F67">
      <w:pPr>
        <w:pStyle w:val="ListParagraph"/>
        <w:numPr>
          <w:ilvl w:val="0"/>
          <w:numId w:val="3"/>
        </w:numPr>
      </w:pPr>
      <w:r>
        <w:t>Users approved by and granted access by Facility Director(s)</w:t>
      </w:r>
    </w:p>
    <w:p w14:paraId="4320C85E" w14:textId="5289C70E" w:rsidR="00DD6D53" w:rsidRDefault="00DD6D53" w:rsidP="00B76F67">
      <w:pPr>
        <w:pStyle w:val="ListParagraph"/>
        <w:numPr>
          <w:ilvl w:val="0"/>
          <w:numId w:val="3"/>
        </w:numPr>
      </w:pPr>
      <w:r>
        <w:t>Facility</w:t>
      </w:r>
      <w:r w:rsidR="00E77F4D">
        <w:t>/</w:t>
      </w:r>
      <w:r>
        <w:t>experimental supplies</w:t>
      </w:r>
      <w:r w:rsidR="00E77F4D">
        <w:t xml:space="preserve"> and PPE</w:t>
      </w:r>
      <w:r>
        <w:t xml:space="preserve"> will be the responsibility of each user</w:t>
      </w:r>
    </w:p>
    <w:p w14:paraId="3850A781" w14:textId="13551474" w:rsidR="00855023" w:rsidRDefault="00855023" w:rsidP="00B76F67">
      <w:pPr>
        <w:pStyle w:val="ListParagraph"/>
        <w:numPr>
          <w:ilvl w:val="0"/>
          <w:numId w:val="3"/>
        </w:numPr>
      </w:pPr>
      <w:r>
        <w:t xml:space="preserve">It is recommended that biological waste be </w:t>
      </w:r>
      <w:proofErr w:type="gramStart"/>
      <w:r>
        <w:t>autoclaved</w:t>
      </w:r>
      <w:proofErr w:type="gramEnd"/>
      <w:r>
        <w:t xml:space="preserve"> and monthly BI testing continue since there are dedicated autoclaves for the facilities. This will help to keep the autoclaves operational and maintained. </w:t>
      </w:r>
    </w:p>
    <w:p w14:paraId="02EBB3F9" w14:textId="3E907FFE" w:rsidR="00E77F4D" w:rsidRDefault="00855023" w:rsidP="00855023">
      <w:pPr>
        <w:pStyle w:val="ListParagraph"/>
        <w:numPr>
          <w:ilvl w:val="1"/>
          <w:numId w:val="3"/>
        </w:numPr>
      </w:pPr>
      <w:r>
        <w:t xml:space="preserve">If not able to autoclave, biological waste can be disposed of following normal BSL2/ABSL2 guidelines such as taken to designated vendor pickup bins or </w:t>
      </w:r>
      <w:r w:rsidR="00325DA5">
        <w:t>c</w:t>
      </w:r>
      <w:r w:rsidR="00325DA5" w:rsidRPr="00325DA5">
        <w:t>arcasses disposed of within the carcass cooler following standard practices</w:t>
      </w:r>
      <w:r w:rsidR="00325DA5">
        <w:t>.</w:t>
      </w:r>
    </w:p>
    <w:p w14:paraId="53C4A23B" w14:textId="3C8F171B" w:rsidR="00617E3E" w:rsidRPr="006E1FD3" w:rsidRDefault="00617E3E" w:rsidP="00617E3E">
      <w:pPr>
        <w:pStyle w:val="ListParagraph"/>
        <w:numPr>
          <w:ilvl w:val="0"/>
          <w:numId w:val="3"/>
        </w:numPr>
      </w:pPr>
      <w:r>
        <w:t>Incidents/near miss reported through the MISP</w:t>
      </w:r>
    </w:p>
    <w:p w14:paraId="56A669F7" w14:textId="23841B31" w:rsidR="00B76F67" w:rsidRPr="00A217BF" w:rsidRDefault="00B76F67" w:rsidP="00E77F4D">
      <w:pPr>
        <w:spacing w:after="0"/>
        <w:rPr>
          <w:b/>
          <w:bCs/>
          <w:sz w:val="24"/>
          <w:szCs w:val="24"/>
        </w:rPr>
      </w:pPr>
      <w:r>
        <w:rPr>
          <w:b/>
          <w:bCs/>
        </w:rPr>
        <w:t xml:space="preserve"> </w:t>
      </w:r>
      <w:r w:rsidRPr="00A217BF">
        <w:rPr>
          <w:b/>
          <w:bCs/>
          <w:sz w:val="24"/>
          <w:szCs w:val="24"/>
        </w:rPr>
        <w:t>Facility PPE Requirements</w:t>
      </w:r>
    </w:p>
    <w:p w14:paraId="493C092A" w14:textId="4380FEFB" w:rsidR="00B76F67" w:rsidRPr="006E1FD3" w:rsidRDefault="00B76F67" w:rsidP="00B76F67">
      <w:pPr>
        <w:pStyle w:val="ListParagraph"/>
        <w:numPr>
          <w:ilvl w:val="0"/>
          <w:numId w:val="2"/>
        </w:numPr>
      </w:pPr>
      <w:r w:rsidRPr="006E1FD3">
        <w:t xml:space="preserve">Respiratory protection </w:t>
      </w:r>
      <w:r w:rsidR="00E77F4D">
        <w:t xml:space="preserve">is </w:t>
      </w:r>
      <w:r w:rsidRPr="006E1FD3">
        <w:t xml:space="preserve">required </w:t>
      </w:r>
    </w:p>
    <w:p w14:paraId="1F386155" w14:textId="77777777" w:rsidR="00B76F67" w:rsidRDefault="00B76F67" w:rsidP="00B76F67">
      <w:pPr>
        <w:pStyle w:val="ListParagraph"/>
        <w:numPr>
          <w:ilvl w:val="1"/>
          <w:numId w:val="2"/>
        </w:numPr>
      </w:pPr>
      <w:r w:rsidRPr="006E1FD3">
        <w:t>Users may choose to use the PAPR or N95</w:t>
      </w:r>
    </w:p>
    <w:p w14:paraId="5B79CAE7" w14:textId="77777777" w:rsidR="004D7ADC" w:rsidRDefault="00751D15" w:rsidP="00B76F67">
      <w:pPr>
        <w:pStyle w:val="ListParagraph"/>
        <w:numPr>
          <w:ilvl w:val="1"/>
          <w:numId w:val="2"/>
        </w:numPr>
      </w:pPr>
      <w:r>
        <w:t xml:space="preserve">PAPR hoods </w:t>
      </w:r>
    </w:p>
    <w:p w14:paraId="75A6C4C0" w14:textId="26DBDB53" w:rsidR="00751D15" w:rsidRDefault="00751D15" w:rsidP="004D7ADC">
      <w:pPr>
        <w:pStyle w:val="ListParagraph"/>
        <w:numPr>
          <w:ilvl w:val="2"/>
          <w:numId w:val="2"/>
        </w:numPr>
      </w:pPr>
      <w:r>
        <w:t>replaced routinely or whenever contaminated</w:t>
      </w:r>
    </w:p>
    <w:p w14:paraId="524C6E8F" w14:textId="6D7C34DA" w:rsidR="00751D15" w:rsidRDefault="00751D15" w:rsidP="00B76F67">
      <w:pPr>
        <w:pStyle w:val="ListParagraph"/>
        <w:numPr>
          <w:ilvl w:val="1"/>
          <w:numId w:val="2"/>
        </w:numPr>
      </w:pPr>
      <w:r>
        <w:t xml:space="preserve">N95 masks are one time use </w:t>
      </w:r>
    </w:p>
    <w:p w14:paraId="50FAC1E2" w14:textId="1649FE3A" w:rsidR="00B76F67" w:rsidRDefault="00B76F67" w:rsidP="00B76F67">
      <w:pPr>
        <w:pStyle w:val="ListParagraph"/>
        <w:numPr>
          <w:ilvl w:val="0"/>
          <w:numId w:val="2"/>
        </w:numPr>
      </w:pPr>
      <w:r>
        <w:t>Street clothes</w:t>
      </w:r>
      <w:r w:rsidR="00364444">
        <w:t xml:space="preserve"> (in accordance with U-M </w:t>
      </w:r>
      <w:r w:rsidR="00D1575D">
        <w:t>proper lab attire policy</w:t>
      </w:r>
      <w:r w:rsidR="00364444">
        <w:t>)</w:t>
      </w:r>
    </w:p>
    <w:p w14:paraId="3479BAB5" w14:textId="2CFA6E12" w:rsidR="00751D15" w:rsidRDefault="00751D15" w:rsidP="00B76F67">
      <w:pPr>
        <w:pStyle w:val="ListParagraph"/>
        <w:numPr>
          <w:ilvl w:val="0"/>
          <w:numId w:val="2"/>
        </w:numPr>
      </w:pPr>
      <w:r>
        <w:t>Reusable gown</w:t>
      </w:r>
    </w:p>
    <w:p w14:paraId="002F6527" w14:textId="504E7CB9" w:rsidR="00751D15" w:rsidRDefault="00751D15" w:rsidP="00751D15">
      <w:pPr>
        <w:pStyle w:val="ListParagraph"/>
        <w:numPr>
          <w:ilvl w:val="1"/>
          <w:numId w:val="2"/>
        </w:numPr>
      </w:pPr>
      <w:r>
        <w:t xml:space="preserve">Gowns should be </w:t>
      </w:r>
      <w:r w:rsidR="00E77F4D">
        <w:t>replaced</w:t>
      </w:r>
      <w:r>
        <w:t xml:space="preserve"> routinely or when contaminated</w:t>
      </w:r>
    </w:p>
    <w:p w14:paraId="1FB525B7" w14:textId="77777777" w:rsidR="00617E3E" w:rsidRDefault="00617E3E" w:rsidP="00617E3E">
      <w:pPr>
        <w:pStyle w:val="ListParagraph"/>
      </w:pPr>
    </w:p>
    <w:p w14:paraId="3EECEA4C" w14:textId="677C1EC4" w:rsidR="00B76F67" w:rsidRDefault="00B76F67" w:rsidP="00B76F67">
      <w:pPr>
        <w:pStyle w:val="ListParagraph"/>
        <w:numPr>
          <w:ilvl w:val="0"/>
          <w:numId w:val="2"/>
        </w:numPr>
      </w:pPr>
      <w:r>
        <w:lastRenderedPageBreak/>
        <w:t>Double gloves</w:t>
      </w:r>
    </w:p>
    <w:p w14:paraId="21E52E5E" w14:textId="77777777" w:rsidR="00B76F67" w:rsidRDefault="00B76F67" w:rsidP="00B76F67">
      <w:pPr>
        <w:pStyle w:val="ListParagraph"/>
        <w:numPr>
          <w:ilvl w:val="0"/>
          <w:numId w:val="2"/>
        </w:numPr>
      </w:pPr>
      <w:r>
        <w:t>Eye protection (if wearing N95)</w:t>
      </w:r>
    </w:p>
    <w:p w14:paraId="731F4C05" w14:textId="4D1328DF" w:rsidR="002E2E58" w:rsidRDefault="002E2E58" w:rsidP="00B76F67">
      <w:pPr>
        <w:pStyle w:val="ListParagraph"/>
        <w:numPr>
          <w:ilvl w:val="0"/>
          <w:numId w:val="2"/>
        </w:numPr>
      </w:pPr>
      <w:r>
        <w:t>Shoe covers (</w:t>
      </w:r>
      <w:r w:rsidR="00406EAE">
        <w:t xml:space="preserve">enhanced </w:t>
      </w:r>
      <w:r>
        <w:t>ABSL</w:t>
      </w:r>
      <w:r w:rsidR="00406EAE">
        <w:t>2</w:t>
      </w:r>
      <w:r>
        <w:t>)</w:t>
      </w:r>
    </w:p>
    <w:p w14:paraId="098C2C4D" w14:textId="4B2BE6E2" w:rsidR="00C92BE0" w:rsidRPr="00A217BF" w:rsidRDefault="00C92BE0" w:rsidP="00111E22">
      <w:pPr>
        <w:spacing w:after="0"/>
        <w:rPr>
          <w:b/>
          <w:bCs/>
          <w:sz w:val="24"/>
          <w:szCs w:val="24"/>
        </w:rPr>
      </w:pPr>
      <w:r w:rsidRPr="00A217BF">
        <w:rPr>
          <w:b/>
          <w:bCs/>
          <w:sz w:val="24"/>
          <w:szCs w:val="24"/>
        </w:rPr>
        <w:t>EHS Biosafety Requirements</w:t>
      </w:r>
    </w:p>
    <w:p w14:paraId="205A6C1A" w14:textId="1F8F5980" w:rsidR="00C92BE0" w:rsidRDefault="00C923C2" w:rsidP="00C92BE0">
      <w:pPr>
        <w:pStyle w:val="ListParagraph"/>
        <w:numPr>
          <w:ilvl w:val="0"/>
          <w:numId w:val="4"/>
        </w:numPr>
      </w:pPr>
      <w:r w:rsidRPr="00C923C2">
        <w:t xml:space="preserve">Respiratory protection is </w:t>
      </w:r>
      <w:r>
        <w:t>required, user</w:t>
      </w:r>
      <w:r w:rsidR="00DD6D53">
        <w:t xml:space="preserve">s </w:t>
      </w:r>
      <w:r>
        <w:t xml:space="preserve">will still need to be enrolled in the Medical Surveillance Program and </w:t>
      </w:r>
      <w:r w:rsidR="00CC079B">
        <w:t>Respiratory Protection Program</w:t>
      </w:r>
    </w:p>
    <w:p w14:paraId="5645AB6D" w14:textId="44FEC59D" w:rsidR="00C923C2" w:rsidRDefault="00C923C2" w:rsidP="00C92BE0">
      <w:pPr>
        <w:pStyle w:val="ListParagraph"/>
        <w:numPr>
          <w:ilvl w:val="0"/>
          <w:numId w:val="4"/>
        </w:numPr>
      </w:pPr>
      <w:r>
        <w:t>BSL2</w:t>
      </w:r>
      <w:r w:rsidR="00FE042E">
        <w:t>/ABSL2</w:t>
      </w:r>
      <w:r>
        <w:t xml:space="preserve"> </w:t>
      </w:r>
      <w:r w:rsidR="00E77F4D">
        <w:t xml:space="preserve">training requirements </w:t>
      </w:r>
      <w:r>
        <w:t>will apply and include lab specific training for work with SARS-Cov-2</w:t>
      </w:r>
    </w:p>
    <w:p w14:paraId="4DE97A6B" w14:textId="110A3CCE" w:rsidR="00E77F4D" w:rsidRDefault="00E77F4D" w:rsidP="00E77F4D">
      <w:pPr>
        <w:pStyle w:val="ListParagraph"/>
        <w:numPr>
          <w:ilvl w:val="1"/>
          <w:numId w:val="4"/>
        </w:numPr>
      </w:pPr>
      <w:r>
        <w:t>The PI, lab manager, or designee are responsible for ensuring staff are trained</w:t>
      </w:r>
    </w:p>
    <w:p w14:paraId="70C01C2B" w14:textId="69C63273" w:rsidR="0088088C" w:rsidRDefault="0088088C" w:rsidP="00E77F4D">
      <w:pPr>
        <w:pStyle w:val="ListParagraph"/>
        <w:numPr>
          <w:ilvl w:val="1"/>
          <w:numId w:val="4"/>
        </w:numPr>
      </w:pPr>
      <w:r>
        <w:t xml:space="preserve">Training records for all users must be maintained within the facility or with the </w:t>
      </w:r>
      <w:r w:rsidR="0026292B">
        <w:t xml:space="preserve">respective </w:t>
      </w:r>
      <w:r>
        <w:t>Facility Director</w:t>
      </w:r>
      <w:r w:rsidR="0026292B">
        <w:t xml:space="preserve"> </w:t>
      </w:r>
      <w:r w:rsidR="00243A71">
        <w:t xml:space="preserve">or Facility Manager </w:t>
      </w:r>
      <w:r>
        <w:t>to be accessible during annual inspection</w:t>
      </w:r>
    </w:p>
    <w:p w14:paraId="387C97CE" w14:textId="6E4C6DDA" w:rsidR="00CC079B" w:rsidRDefault="00CC079B" w:rsidP="00C92BE0">
      <w:pPr>
        <w:pStyle w:val="ListParagraph"/>
        <w:numPr>
          <w:ilvl w:val="0"/>
          <w:numId w:val="4"/>
        </w:numPr>
      </w:pPr>
      <w:r>
        <w:t>SARS-Cov-2 vaccine is recommended</w:t>
      </w:r>
    </w:p>
    <w:p w14:paraId="16B163AC" w14:textId="5F802551" w:rsidR="00C32A14" w:rsidRDefault="00C32A14" w:rsidP="00C92BE0">
      <w:pPr>
        <w:pStyle w:val="ListParagraph"/>
        <w:numPr>
          <w:ilvl w:val="0"/>
          <w:numId w:val="4"/>
        </w:numPr>
      </w:pPr>
      <w:r>
        <w:t>Annual facility shutdown and testing</w:t>
      </w:r>
    </w:p>
    <w:p w14:paraId="5D58D956" w14:textId="54E4FEA4" w:rsidR="00C32A14" w:rsidRDefault="00C32A14" w:rsidP="00C92BE0">
      <w:pPr>
        <w:pStyle w:val="ListParagraph"/>
        <w:numPr>
          <w:ilvl w:val="0"/>
          <w:numId w:val="4"/>
        </w:numPr>
      </w:pPr>
      <w:r>
        <w:t>Annual Biosafety inspection</w:t>
      </w:r>
    </w:p>
    <w:p w14:paraId="701C92B2" w14:textId="7CA4152E" w:rsidR="00E736EE" w:rsidRDefault="00E736EE" w:rsidP="00C92BE0">
      <w:pPr>
        <w:pStyle w:val="ListParagraph"/>
        <w:numPr>
          <w:ilvl w:val="0"/>
          <w:numId w:val="4"/>
        </w:numPr>
      </w:pPr>
      <w:r>
        <w:t xml:space="preserve">Use of EPA registered disinfectants effective against SARS-CoV-2 </w:t>
      </w:r>
    </w:p>
    <w:p w14:paraId="66590C6F" w14:textId="6CBB81FC" w:rsidR="00A73C38" w:rsidRDefault="00A73C38" w:rsidP="00A73C38">
      <w:pPr>
        <w:pStyle w:val="ListParagraph"/>
        <w:numPr>
          <w:ilvl w:val="0"/>
          <w:numId w:val="4"/>
        </w:numPr>
      </w:pPr>
      <w:r>
        <w:t>Facility specific SOP</w:t>
      </w:r>
      <w:r w:rsidR="0010474D">
        <w:t>(s)</w:t>
      </w:r>
      <w:r>
        <w:t xml:space="preserve"> </w:t>
      </w:r>
      <w:r w:rsidR="00F142C7">
        <w:t xml:space="preserve">to ensure </w:t>
      </w:r>
      <w:r>
        <w:t>consistency among users</w:t>
      </w:r>
    </w:p>
    <w:p w14:paraId="3810E168" w14:textId="0DFE488F" w:rsidR="00F142C7" w:rsidRDefault="00F142C7" w:rsidP="00F142C7">
      <w:pPr>
        <w:pStyle w:val="ListParagraph"/>
        <w:numPr>
          <w:ilvl w:val="1"/>
          <w:numId w:val="4"/>
        </w:numPr>
      </w:pPr>
      <w:r>
        <w:t>Facility specific procedures</w:t>
      </w:r>
    </w:p>
    <w:p w14:paraId="4E3EA925" w14:textId="6DB0B94F" w:rsidR="00F142C7" w:rsidRDefault="00F142C7" w:rsidP="00A73C38">
      <w:pPr>
        <w:pStyle w:val="ListParagraph"/>
        <w:numPr>
          <w:ilvl w:val="1"/>
          <w:numId w:val="4"/>
        </w:numPr>
      </w:pPr>
      <w:r>
        <w:t>Incident and near miss reporting</w:t>
      </w:r>
    </w:p>
    <w:p w14:paraId="3D50484A" w14:textId="66479B7B" w:rsidR="00F142C7" w:rsidRDefault="00F142C7" w:rsidP="00A73C38">
      <w:pPr>
        <w:pStyle w:val="ListParagraph"/>
        <w:numPr>
          <w:ilvl w:val="1"/>
          <w:numId w:val="4"/>
        </w:numPr>
      </w:pPr>
      <w:r>
        <w:t>How waste will be handled (preference is to use facility autoclave)</w:t>
      </w:r>
    </w:p>
    <w:p w14:paraId="02B2A3B3" w14:textId="65DDFD90" w:rsidR="00F142C7" w:rsidRDefault="00F142C7" w:rsidP="00F142C7">
      <w:pPr>
        <w:pStyle w:val="ListParagraph"/>
        <w:numPr>
          <w:ilvl w:val="2"/>
          <w:numId w:val="4"/>
        </w:numPr>
      </w:pPr>
      <w:r>
        <w:t>Monthly BI testing</w:t>
      </w:r>
    </w:p>
    <w:p w14:paraId="013EF53D" w14:textId="1C2EE61D" w:rsidR="00A73C38" w:rsidRDefault="00A73C38" w:rsidP="00A73C38">
      <w:pPr>
        <w:pStyle w:val="ListParagraph"/>
        <w:numPr>
          <w:ilvl w:val="1"/>
          <w:numId w:val="4"/>
        </w:numPr>
      </w:pPr>
      <w:r>
        <w:t>PPE, use care &amp; maintenance</w:t>
      </w:r>
    </w:p>
    <w:p w14:paraId="1966F473" w14:textId="59C6015B" w:rsidR="00A73C38" w:rsidRDefault="00F142C7" w:rsidP="00A73C38">
      <w:pPr>
        <w:pStyle w:val="ListParagraph"/>
        <w:numPr>
          <w:ilvl w:val="1"/>
          <w:numId w:val="4"/>
        </w:numPr>
      </w:pPr>
      <w:r>
        <w:t>Housekeeping, tracking and ordering of supplies</w:t>
      </w:r>
    </w:p>
    <w:p w14:paraId="7783D8D7" w14:textId="1E8D3F36" w:rsidR="00F142C7" w:rsidRDefault="00F142C7" w:rsidP="00A73C38">
      <w:pPr>
        <w:pStyle w:val="ListParagraph"/>
        <w:numPr>
          <w:ilvl w:val="1"/>
          <w:numId w:val="4"/>
        </w:numPr>
      </w:pPr>
      <w:r>
        <w:t>Facility communication (e.g., new user Slack channel)</w:t>
      </w:r>
    </w:p>
    <w:p w14:paraId="1240F4A8" w14:textId="20F9B193" w:rsidR="0010474D" w:rsidRDefault="0010474D" w:rsidP="00A73C38">
      <w:pPr>
        <w:pStyle w:val="ListParagraph"/>
        <w:numPr>
          <w:ilvl w:val="1"/>
          <w:numId w:val="4"/>
        </w:numPr>
      </w:pPr>
      <w:r>
        <w:t>Disinfectant used and spill clean up</w:t>
      </w:r>
    </w:p>
    <w:p w14:paraId="02D640FF" w14:textId="261E18BD" w:rsidR="0010474D" w:rsidRDefault="0010474D" w:rsidP="0010474D">
      <w:pPr>
        <w:pStyle w:val="ListParagraph"/>
        <w:ind w:left="1440"/>
      </w:pPr>
    </w:p>
    <w:p w14:paraId="5B9E636C" w14:textId="77777777" w:rsidR="00A73C38" w:rsidRDefault="00A73C38" w:rsidP="00A73C38">
      <w:pPr>
        <w:pStyle w:val="ListParagraph"/>
      </w:pPr>
    </w:p>
    <w:p w14:paraId="29A4DBC8" w14:textId="77777777" w:rsidR="00617E3E" w:rsidRPr="00C923C2" w:rsidRDefault="00617E3E" w:rsidP="00617E3E">
      <w:pPr>
        <w:pStyle w:val="ListParagraph"/>
      </w:pPr>
    </w:p>
    <w:p w14:paraId="0F65006C" w14:textId="35540355" w:rsidR="00C92BE0" w:rsidRPr="006E1FD3" w:rsidRDefault="00C92BE0" w:rsidP="00C92BE0"/>
    <w:p w14:paraId="70308DEF" w14:textId="77777777" w:rsidR="00B76F67" w:rsidRDefault="00B76F67" w:rsidP="00B76F67">
      <w:pPr>
        <w:rPr>
          <w:b/>
          <w:bCs/>
        </w:rPr>
      </w:pPr>
    </w:p>
    <w:p w14:paraId="11A77054" w14:textId="77777777" w:rsidR="00B76F67" w:rsidRDefault="00B76F67" w:rsidP="00B76F67">
      <w:pPr>
        <w:rPr>
          <w:b/>
          <w:bCs/>
        </w:rPr>
      </w:pPr>
    </w:p>
    <w:p w14:paraId="4C03DE90" w14:textId="77777777" w:rsidR="00C92BE0" w:rsidRDefault="00C92BE0" w:rsidP="00B76F67">
      <w:pPr>
        <w:rPr>
          <w:b/>
          <w:bCs/>
        </w:rPr>
      </w:pPr>
    </w:p>
    <w:p w14:paraId="40000085" w14:textId="77777777" w:rsidR="00C92BE0" w:rsidRDefault="00C92BE0" w:rsidP="00B76F67">
      <w:pPr>
        <w:rPr>
          <w:b/>
          <w:bCs/>
        </w:rPr>
      </w:pPr>
    </w:p>
    <w:p w14:paraId="5F8CF9B1" w14:textId="77777777" w:rsidR="00B76F67" w:rsidRDefault="00B76F67" w:rsidP="00B76F67">
      <w:pPr>
        <w:rPr>
          <w:b/>
          <w:bCs/>
        </w:rPr>
      </w:pPr>
    </w:p>
    <w:p w14:paraId="43ABEE65" w14:textId="77777777" w:rsidR="00AE4D8F" w:rsidRDefault="00AE4D8F" w:rsidP="000844D3">
      <w:pPr>
        <w:pStyle w:val="NoSpacing"/>
        <w:ind w:left="-630"/>
        <w:rPr>
          <w:rFonts w:ascii="Arial" w:hAnsi="Arial" w:cs="Arial"/>
          <w:sz w:val="24"/>
          <w:szCs w:val="24"/>
        </w:rPr>
      </w:pPr>
    </w:p>
    <w:sectPr w:rsidR="00AE4D8F" w:rsidSect="000844D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15057" w14:textId="77777777" w:rsidR="003E22A9" w:rsidRDefault="003E22A9" w:rsidP="009C28E2">
      <w:pPr>
        <w:spacing w:after="0" w:line="240" w:lineRule="auto"/>
      </w:pPr>
      <w:r>
        <w:separator/>
      </w:r>
    </w:p>
  </w:endnote>
  <w:endnote w:type="continuationSeparator" w:id="0">
    <w:p w14:paraId="1D944617" w14:textId="77777777" w:rsidR="003E22A9" w:rsidRDefault="003E22A9" w:rsidP="009C2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1DEC8" w14:textId="77777777" w:rsidR="003E22A9" w:rsidRDefault="003E22A9" w:rsidP="009C28E2">
      <w:pPr>
        <w:spacing w:after="0" w:line="240" w:lineRule="auto"/>
      </w:pPr>
      <w:r>
        <w:separator/>
      </w:r>
    </w:p>
  </w:footnote>
  <w:footnote w:type="continuationSeparator" w:id="0">
    <w:p w14:paraId="26C68DEF" w14:textId="77777777" w:rsidR="003E22A9" w:rsidRDefault="003E22A9" w:rsidP="009C2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61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3"/>
      <w:gridCol w:w="3147"/>
    </w:tblGrid>
    <w:tr w:rsidR="005123AD" w14:paraId="1A788A57" w14:textId="77777777" w:rsidTr="005E66CC">
      <w:trPr>
        <w:trHeight w:val="821"/>
      </w:trPr>
      <w:tc>
        <w:tcPr>
          <w:tcW w:w="7463" w:type="dxa"/>
        </w:tcPr>
        <w:p w14:paraId="28B5CA6C" w14:textId="77777777" w:rsidR="005123AD" w:rsidRDefault="000B784A" w:rsidP="005123AD">
          <w:pPr>
            <w:pStyle w:val="Header"/>
            <w:tabs>
              <w:tab w:val="clear" w:pos="9360"/>
            </w:tabs>
            <w:ind w:left="-108" w:right="-720"/>
            <w:rPr>
              <w:rStyle w:val="BookTitle"/>
              <w:rFonts w:ascii="Arial" w:hAnsi="Arial" w:cs="Arial"/>
              <w:color w:val="17365D" w:themeColor="text2" w:themeShade="BF"/>
              <w:sz w:val="18"/>
              <w:szCs w:val="18"/>
            </w:rPr>
          </w:pPr>
          <w:r>
            <w:rPr>
              <w:rFonts w:ascii="Arial" w:hAnsi="Arial" w:cs="Arial"/>
              <w:b/>
              <w:bCs/>
              <w:smallCaps/>
              <w:noProof/>
              <w:color w:val="17365D" w:themeColor="text2" w:themeShade="BF"/>
              <w:spacing w:val="5"/>
              <w:sz w:val="18"/>
              <w:szCs w:val="18"/>
            </w:rPr>
            <w:drawing>
              <wp:inline distT="0" distB="0" distL="0" distR="0" wp14:anchorId="45DBD84D" wp14:editId="1E05EEEC">
                <wp:extent cx="3320420" cy="3519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stationer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20420" cy="351965"/>
                        </a:xfrm>
                        <a:prstGeom prst="rect">
                          <a:avLst/>
                        </a:prstGeom>
                      </pic:spPr>
                    </pic:pic>
                  </a:graphicData>
                </a:graphic>
              </wp:inline>
            </w:drawing>
          </w:r>
        </w:p>
      </w:tc>
      <w:tc>
        <w:tcPr>
          <w:tcW w:w="3147" w:type="dxa"/>
        </w:tcPr>
        <w:p w14:paraId="61236022" w14:textId="77777777" w:rsidR="005123AD" w:rsidRPr="00562646" w:rsidRDefault="005123AD" w:rsidP="005123AD">
          <w:pPr>
            <w:pStyle w:val="Header"/>
            <w:tabs>
              <w:tab w:val="clear" w:pos="9360"/>
            </w:tabs>
            <w:ind w:right="-108"/>
            <w:jc w:val="right"/>
            <w:rPr>
              <w:rStyle w:val="BookTitle"/>
              <w:rFonts w:ascii="Arial" w:hAnsi="Arial" w:cs="Arial"/>
              <w:color w:val="17365D" w:themeColor="text2" w:themeShade="BF"/>
              <w:sz w:val="16"/>
              <w:szCs w:val="16"/>
            </w:rPr>
          </w:pPr>
          <w:r w:rsidRPr="00562646">
            <w:rPr>
              <w:rStyle w:val="BookTitle"/>
              <w:rFonts w:ascii="Arial" w:hAnsi="Arial" w:cs="Arial"/>
              <w:color w:val="17365D" w:themeColor="text2" w:themeShade="BF"/>
              <w:sz w:val="16"/>
              <w:szCs w:val="16"/>
            </w:rPr>
            <w:t>1239 Kipke Drive</w:t>
          </w:r>
        </w:p>
        <w:p w14:paraId="252BDC75" w14:textId="77777777" w:rsidR="005123AD" w:rsidRPr="00562646" w:rsidRDefault="005123AD" w:rsidP="005123AD">
          <w:pPr>
            <w:pStyle w:val="Header"/>
            <w:tabs>
              <w:tab w:val="clear" w:pos="9360"/>
            </w:tabs>
            <w:ind w:left="-720" w:right="-108"/>
            <w:jc w:val="right"/>
            <w:rPr>
              <w:rStyle w:val="BookTitle"/>
              <w:rFonts w:ascii="Arial" w:hAnsi="Arial" w:cs="Arial"/>
              <w:color w:val="17365D" w:themeColor="text2" w:themeShade="BF"/>
              <w:sz w:val="16"/>
              <w:szCs w:val="16"/>
            </w:rPr>
          </w:pPr>
          <w:r w:rsidRPr="00562646">
            <w:rPr>
              <w:rStyle w:val="BookTitle"/>
              <w:rFonts w:ascii="Arial" w:hAnsi="Arial" w:cs="Arial"/>
              <w:color w:val="17365D" w:themeColor="text2" w:themeShade="BF"/>
              <w:sz w:val="16"/>
              <w:szCs w:val="16"/>
            </w:rPr>
            <w:t>Ann Arbor, Michigan 48109-1010</w:t>
          </w:r>
        </w:p>
        <w:p w14:paraId="1EB541C2" w14:textId="77777777" w:rsidR="005123AD" w:rsidRPr="00562646" w:rsidRDefault="005123AD" w:rsidP="005123AD">
          <w:pPr>
            <w:pStyle w:val="Header"/>
            <w:tabs>
              <w:tab w:val="clear" w:pos="9360"/>
            </w:tabs>
            <w:ind w:left="-720" w:right="-108"/>
            <w:jc w:val="right"/>
            <w:rPr>
              <w:rStyle w:val="BookTitle"/>
              <w:rFonts w:ascii="Arial" w:hAnsi="Arial" w:cs="Arial"/>
              <w:color w:val="17365D" w:themeColor="text2" w:themeShade="BF"/>
              <w:sz w:val="16"/>
              <w:szCs w:val="16"/>
            </w:rPr>
          </w:pPr>
          <w:r w:rsidRPr="00562646">
            <w:rPr>
              <w:rStyle w:val="BookTitle"/>
              <w:rFonts w:ascii="Arial" w:hAnsi="Arial" w:cs="Arial"/>
              <w:color w:val="17365D" w:themeColor="text2" w:themeShade="BF"/>
              <w:sz w:val="16"/>
              <w:szCs w:val="16"/>
            </w:rPr>
            <w:t>(734) 647-1143 | Fax (734) 763-1185</w:t>
          </w:r>
        </w:p>
        <w:p w14:paraId="2AA86D5E" w14:textId="77777777" w:rsidR="005123AD" w:rsidRDefault="005123AD" w:rsidP="00A70451">
          <w:pPr>
            <w:pStyle w:val="Header"/>
            <w:tabs>
              <w:tab w:val="clear" w:pos="9360"/>
            </w:tabs>
            <w:ind w:left="-720" w:right="-108"/>
            <w:jc w:val="right"/>
            <w:rPr>
              <w:rStyle w:val="BookTitle"/>
              <w:rFonts w:ascii="Arial" w:hAnsi="Arial" w:cs="Arial"/>
              <w:color w:val="17365D" w:themeColor="text2" w:themeShade="BF"/>
              <w:sz w:val="18"/>
              <w:szCs w:val="18"/>
            </w:rPr>
          </w:pPr>
          <w:r w:rsidRPr="00562646">
            <w:rPr>
              <w:rStyle w:val="BookTitle"/>
              <w:rFonts w:ascii="Arial" w:hAnsi="Arial" w:cs="Arial"/>
              <w:bCs w:val="0"/>
              <w:smallCaps w:val="0"/>
              <w:color w:val="17365D" w:themeColor="text2" w:themeShade="BF"/>
              <w:sz w:val="16"/>
              <w:szCs w:val="16"/>
            </w:rPr>
            <w:t>www.e</w:t>
          </w:r>
          <w:r w:rsidR="00A70451">
            <w:rPr>
              <w:rStyle w:val="BookTitle"/>
              <w:rFonts w:ascii="Arial" w:hAnsi="Arial" w:cs="Arial"/>
              <w:bCs w:val="0"/>
              <w:smallCaps w:val="0"/>
              <w:color w:val="17365D" w:themeColor="text2" w:themeShade="BF"/>
              <w:sz w:val="16"/>
              <w:szCs w:val="16"/>
            </w:rPr>
            <w:t>hs</w:t>
          </w:r>
          <w:r w:rsidRPr="00562646">
            <w:rPr>
              <w:rStyle w:val="BookTitle"/>
              <w:rFonts w:ascii="Arial" w:hAnsi="Arial" w:cs="Arial"/>
              <w:bCs w:val="0"/>
              <w:smallCaps w:val="0"/>
              <w:color w:val="17365D" w:themeColor="text2" w:themeShade="BF"/>
              <w:sz w:val="16"/>
              <w:szCs w:val="16"/>
            </w:rPr>
            <w:t>.umich.edu</w:t>
          </w:r>
        </w:p>
      </w:tc>
    </w:tr>
  </w:tbl>
  <w:p w14:paraId="1D5FE142" w14:textId="77777777" w:rsidR="001C3348" w:rsidRDefault="001C3348" w:rsidP="005E66CC">
    <w:pPr>
      <w:pStyle w:val="Header"/>
      <w:tabs>
        <w:tab w:val="clear" w:pos="9360"/>
      </w:tabs>
      <w:ind w:left="-720" w:right="-630"/>
      <w:rPr>
        <w:rStyle w:val="BookTitle"/>
        <w:rFonts w:ascii="Arial" w:hAnsi="Arial" w:cs="Arial"/>
        <w:color w:val="17365D" w:themeColor="text2" w:themeShade="BF"/>
        <w:sz w:val="18"/>
        <w:szCs w:val="18"/>
      </w:rPr>
    </w:pPr>
    <w:r>
      <w:rPr>
        <w:rFonts w:ascii="Arial" w:hAnsi="Arial" w:cs="Arial"/>
        <w:b/>
        <w:bCs/>
        <w:smallCaps/>
        <w:noProof/>
        <w:color w:val="1F497D" w:themeColor="text2"/>
        <w:spacing w:val="5"/>
        <w:sz w:val="18"/>
        <w:szCs w:val="18"/>
      </w:rPr>
      <mc:AlternateContent>
        <mc:Choice Requires="wps">
          <w:drawing>
            <wp:anchor distT="0" distB="0" distL="114300" distR="114300" simplePos="0" relativeHeight="251659264" behindDoc="0" locked="0" layoutInCell="1" allowOverlap="1" wp14:anchorId="64AB8B41" wp14:editId="240A2D4F">
              <wp:simplePos x="0" y="0"/>
              <wp:positionH relativeFrom="column">
                <wp:posOffset>-400050</wp:posOffset>
              </wp:positionH>
              <wp:positionV relativeFrom="paragraph">
                <wp:posOffset>50165</wp:posOffset>
              </wp:positionV>
              <wp:extent cx="675005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6750050" cy="0"/>
                      </a:xfrm>
                      <a:prstGeom prst="line">
                        <a:avLst/>
                      </a:prstGeom>
                      <a:ln w="63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F36D5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3.95pt" to="500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" strokecolor="#17365d [2415]" strokeweight=".5pt"/>
          </w:pict>
        </mc:Fallback>
      </mc:AlternateContent>
    </w:r>
    <w:r w:rsidRPr="001C3348">
      <w:rPr>
        <w:rStyle w:val="BookTitle"/>
        <w:rFonts w:ascii="Arial" w:hAnsi="Arial" w:cs="Arial"/>
        <w:color w:val="17365D" w:themeColor="text2" w:themeShade="BF"/>
        <w:sz w:val="18"/>
        <w:szCs w:val="18"/>
      </w:rPr>
      <w:t xml:space="preserve">                                                                                         </w:t>
    </w:r>
    <w:r>
      <w:rPr>
        <w:rStyle w:val="BookTitle"/>
        <w:rFonts w:ascii="Arial" w:hAnsi="Arial" w:cs="Arial"/>
        <w:color w:val="17365D" w:themeColor="text2" w:themeShade="BF"/>
        <w:sz w:val="18"/>
        <w:szCs w:val="18"/>
      </w:rPr>
      <w:t xml:space="preserve"> </w:t>
    </w:r>
  </w:p>
  <w:p w14:paraId="0251568E" w14:textId="77777777" w:rsidR="001C3348" w:rsidRPr="00562646" w:rsidRDefault="00BF7E9D" w:rsidP="005E66CC">
    <w:pPr>
      <w:pStyle w:val="Header"/>
      <w:ind w:left="-630"/>
      <w:rPr>
        <w:rStyle w:val="BookTitle"/>
        <w:rFonts w:ascii="Arial" w:hAnsi="Arial" w:cs="Arial"/>
        <w:color w:val="17365D" w:themeColor="text2" w:themeShade="BF"/>
        <w:sz w:val="16"/>
        <w:szCs w:val="16"/>
      </w:rPr>
    </w:pPr>
    <w:r>
      <w:rPr>
        <w:rStyle w:val="BookTitle"/>
        <w:rFonts w:ascii="Arial" w:hAnsi="Arial" w:cs="Arial"/>
        <w:color w:val="17365D" w:themeColor="text2" w:themeShade="BF"/>
        <w:sz w:val="16"/>
        <w:szCs w:val="16"/>
      </w:rPr>
      <w:t>Danielle Sheen</w:t>
    </w:r>
    <w:r w:rsidR="001C3348" w:rsidRPr="00562646">
      <w:rPr>
        <w:rStyle w:val="BookTitle"/>
        <w:rFonts w:ascii="Arial" w:hAnsi="Arial" w:cs="Arial"/>
        <w:color w:val="17365D" w:themeColor="text2" w:themeShade="BF"/>
        <w:sz w:val="16"/>
        <w:szCs w:val="16"/>
      </w:rPr>
      <w:t>, Executive Director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B3F3F"/>
    <w:multiLevelType w:val="hybridMultilevel"/>
    <w:tmpl w:val="09C4E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25453"/>
    <w:multiLevelType w:val="hybridMultilevel"/>
    <w:tmpl w:val="56E4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FD0CA9"/>
    <w:multiLevelType w:val="hybridMultilevel"/>
    <w:tmpl w:val="C824B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301D09"/>
    <w:multiLevelType w:val="hybridMultilevel"/>
    <w:tmpl w:val="486E2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908164">
    <w:abstractNumId w:val="1"/>
  </w:num>
  <w:num w:numId="2" w16cid:durableId="1106148741">
    <w:abstractNumId w:val="2"/>
  </w:num>
  <w:num w:numId="3" w16cid:durableId="352341640">
    <w:abstractNumId w:val="3"/>
  </w:num>
  <w:num w:numId="4" w16cid:durableId="506794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8E2"/>
    <w:rsid w:val="000844D3"/>
    <w:rsid w:val="000B2E8B"/>
    <w:rsid w:val="000B784A"/>
    <w:rsid w:val="000C5BDF"/>
    <w:rsid w:val="0010474D"/>
    <w:rsid w:val="00111E22"/>
    <w:rsid w:val="001A05C7"/>
    <w:rsid w:val="001C3348"/>
    <w:rsid w:val="00243A71"/>
    <w:rsid w:val="0026292B"/>
    <w:rsid w:val="00282BEF"/>
    <w:rsid w:val="002E2E58"/>
    <w:rsid w:val="00310070"/>
    <w:rsid w:val="00320BD1"/>
    <w:rsid w:val="00325DA5"/>
    <w:rsid w:val="00327E88"/>
    <w:rsid w:val="00364444"/>
    <w:rsid w:val="00371A17"/>
    <w:rsid w:val="003E22A9"/>
    <w:rsid w:val="003E7D62"/>
    <w:rsid w:val="00406EAE"/>
    <w:rsid w:val="004232E5"/>
    <w:rsid w:val="00436270"/>
    <w:rsid w:val="00487F48"/>
    <w:rsid w:val="004D7ADC"/>
    <w:rsid w:val="005123AD"/>
    <w:rsid w:val="005426A5"/>
    <w:rsid w:val="00562646"/>
    <w:rsid w:val="005E66CC"/>
    <w:rsid w:val="00617636"/>
    <w:rsid w:val="00617E3E"/>
    <w:rsid w:val="0070495F"/>
    <w:rsid w:val="0071456C"/>
    <w:rsid w:val="00751D15"/>
    <w:rsid w:val="00796534"/>
    <w:rsid w:val="007A5F1A"/>
    <w:rsid w:val="007D46B4"/>
    <w:rsid w:val="00855023"/>
    <w:rsid w:val="0088088C"/>
    <w:rsid w:val="008F0FE7"/>
    <w:rsid w:val="009642A5"/>
    <w:rsid w:val="009964FD"/>
    <w:rsid w:val="009A5922"/>
    <w:rsid w:val="009B2657"/>
    <w:rsid w:val="009C28E2"/>
    <w:rsid w:val="009E2CC4"/>
    <w:rsid w:val="00A217BF"/>
    <w:rsid w:val="00A22938"/>
    <w:rsid w:val="00A419C1"/>
    <w:rsid w:val="00A70451"/>
    <w:rsid w:val="00A73C38"/>
    <w:rsid w:val="00AE4D8F"/>
    <w:rsid w:val="00B242D4"/>
    <w:rsid w:val="00B76F67"/>
    <w:rsid w:val="00BB2774"/>
    <w:rsid w:val="00BC21D3"/>
    <w:rsid w:val="00BD4231"/>
    <w:rsid w:val="00BE6D2B"/>
    <w:rsid w:val="00BF7E9D"/>
    <w:rsid w:val="00C32A14"/>
    <w:rsid w:val="00C82B56"/>
    <w:rsid w:val="00C8502F"/>
    <w:rsid w:val="00C923C2"/>
    <w:rsid w:val="00C92BE0"/>
    <w:rsid w:val="00CC079B"/>
    <w:rsid w:val="00D1575D"/>
    <w:rsid w:val="00DD6D53"/>
    <w:rsid w:val="00DF4C94"/>
    <w:rsid w:val="00DF732D"/>
    <w:rsid w:val="00E30283"/>
    <w:rsid w:val="00E32A49"/>
    <w:rsid w:val="00E736EE"/>
    <w:rsid w:val="00E77F4D"/>
    <w:rsid w:val="00EC5893"/>
    <w:rsid w:val="00F13FC6"/>
    <w:rsid w:val="00F142C7"/>
    <w:rsid w:val="00F2380B"/>
    <w:rsid w:val="00F41FA9"/>
    <w:rsid w:val="00F634D9"/>
    <w:rsid w:val="00FE0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FA9A"/>
  <w15:docId w15:val="{754A43E0-191F-49A6-B89D-E82D4456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8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8E2"/>
  </w:style>
  <w:style w:type="paragraph" w:styleId="Footer">
    <w:name w:val="footer"/>
    <w:basedOn w:val="Normal"/>
    <w:link w:val="FooterChar"/>
    <w:uiPriority w:val="99"/>
    <w:unhideWhenUsed/>
    <w:rsid w:val="009C2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8E2"/>
  </w:style>
  <w:style w:type="paragraph" w:styleId="BalloonText">
    <w:name w:val="Balloon Text"/>
    <w:basedOn w:val="Normal"/>
    <w:link w:val="BalloonTextChar"/>
    <w:uiPriority w:val="99"/>
    <w:semiHidden/>
    <w:unhideWhenUsed/>
    <w:rsid w:val="009C2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8E2"/>
    <w:rPr>
      <w:rFonts w:ascii="Tahoma" w:hAnsi="Tahoma" w:cs="Tahoma"/>
      <w:sz w:val="16"/>
      <w:szCs w:val="16"/>
    </w:rPr>
  </w:style>
  <w:style w:type="character" w:styleId="BookTitle">
    <w:name w:val="Book Title"/>
    <w:basedOn w:val="DefaultParagraphFont"/>
    <w:uiPriority w:val="33"/>
    <w:qFormat/>
    <w:rsid w:val="009C28E2"/>
    <w:rPr>
      <w:b/>
      <w:bCs/>
      <w:smallCaps/>
      <w:spacing w:val="5"/>
    </w:rPr>
  </w:style>
  <w:style w:type="character" w:styleId="Hyperlink">
    <w:name w:val="Hyperlink"/>
    <w:basedOn w:val="DefaultParagraphFont"/>
    <w:uiPriority w:val="99"/>
    <w:unhideWhenUsed/>
    <w:rsid w:val="001C3348"/>
    <w:rPr>
      <w:color w:val="0000FF" w:themeColor="hyperlink"/>
      <w:u w:val="single"/>
    </w:rPr>
  </w:style>
  <w:style w:type="table" w:styleId="TableGrid">
    <w:name w:val="Table Grid"/>
    <w:basedOn w:val="TableNormal"/>
    <w:uiPriority w:val="59"/>
    <w:rsid w:val="00512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844D3"/>
    <w:pPr>
      <w:spacing w:after="0" w:line="240" w:lineRule="auto"/>
    </w:pPr>
  </w:style>
  <w:style w:type="paragraph" w:styleId="ListParagraph">
    <w:name w:val="List Paragraph"/>
    <w:basedOn w:val="Normal"/>
    <w:uiPriority w:val="34"/>
    <w:qFormat/>
    <w:rsid w:val="00B76F67"/>
    <w:pPr>
      <w:spacing w:after="160" w:line="259"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6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Alexander, Terrance</dc:creator>
  <cp:lastModifiedBy>O'Donnell, Crystal</cp:lastModifiedBy>
  <cp:revision>5</cp:revision>
  <cp:lastPrinted>2019-07-03T20:06:00Z</cp:lastPrinted>
  <dcterms:created xsi:type="dcterms:W3CDTF">2025-02-13T18:05:00Z</dcterms:created>
  <dcterms:modified xsi:type="dcterms:W3CDTF">2025-02-13T18:28:00Z</dcterms:modified>
</cp:coreProperties>
</file>