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D943" w14:textId="05CF47EA" w:rsidR="001303E8" w:rsidRPr="0024074A" w:rsidRDefault="00125CD2" w:rsidP="00992503">
      <w:pPr>
        <w:pStyle w:val="Title"/>
      </w:pPr>
      <w:r>
        <w:t>Tetrahydrofuran (THF)</w:t>
      </w:r>
    </w:p>
    <w:p w14:paraId="7E08AACA" w14:textId="77777777" w:rsidR="001303E8" w:rsidRDefault="00EA2321" w:rsidP="001303E8">
      <w:pPr>
        <w:pStyle w:val="Subtitle"/>
      </w:pPr>
      <w:r>
        <w:t>Standard Operating Procedure</w:t>
      </w:r>
    </w:p>
    <w:p w14:paraId="6CB8624E" w14:textId="2865C3A7" w:rsidR="00EA2321" w:rsidRDefault="00D6076E" w:rsidP="007B3042">
      <w:pPr>
        <w:pStyle w:val="RevDate"/>
      </w:pPr>
      <w:r>
        <w:t>Revision Date</w:t>
      </w:r>
      <w:r w:rsidR="001303E8">
        <w:t xml:space="preserve">: </w:t>
      </w:r>
      <w:r w:rsidR="00547367">
        <w:t xml:space="preserve"> </w:t>
      </w:r>
      <w:sdt>
        <w:sdtPr>
          <w:id w:val="-895739320"/>
          <w:placeholder>
            <w:docPart w:val="530B1F78E861489F948DA97EEBE525DE"/>
          </w:placeholder>
        </w:sdtPr>
        <w:sdtEndPr/>
        <w:sdtContent>
          <w:r w:rsidR="007B3042">
            <w:t>0</w:t>
          </w:r>
          <w:r w:rsidR="00E01966">
            <w:t>8</w:t>
          </w:r>
          <w:r w:rsidR="007D66BF">
            <w:t>/</w:t>
          </w:r>
          <w:r w:rsidR="00E01966">
            <w:t>17</w:t>
          </w:r>
          <w:r w:rsidR="007B3042">
            <w:t>/</w:t>
          </w:r>
          <w:r w:rsidR="001D7CC1">
            <w:t>22</w:t>
          </w:r>
        </w:sdtContent>
      </w:sdt>
      <w:r w:rsidR="00EA2321" w:rsidRPr="00EA2321">
        <w:rPr>
          <w:noProof/>
        </w:rPr>
        <mc:AlternateContent>
          <mc:Choice Requires="wpg">
            <w:drawing>
              <wp:anchor distT="0" distB="0" distL="114300" distR="114300" simplePos="0" relativeHeight="251661312" behindDoc="0" locked="0" layoutInCell="1" allowOverlap="1" wp14:anchorId="011174F1" wp14:editId="15BFDF3A">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1D833F"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72DABC4A" w14:textId="77777777" w:rsidR="007B3042" w:rsidRDefault="007B3042" w:rsidP="008E335E">
      <w:pPr>
        <w:rPr>
          <w:rStyle w:val="Emphasis"/>
        </w:rPr>
      </w:pPr>
    </w:p>
    <w:p w14:paraId="274C8574" w14:textId="020C1C69" w:rsidR="008E335E" w:rsidRPr="008E335E" w:rsidRDefault="008E335E" w:rsidP="008E335E">
      <w:pPr>
        <w:rPr>
          <w:rStyle w:val="Emphasis"/>
        </w:rPr>
      </w:pPr>
      <w:r w:rsidRPr="008E335E">
        <w:rPr>
          <w:rStyle w:val="Emphasis"/>
        </w:rPr>
        <w:t xml:space="preserve">This standard operating procedure (SOP) outlines the handling and use of </w:t>
      </w:r>
      <w:r>
        <w:rPr>
          <w:rStyle w:val="Emphasis"/>
        </w:rPr>
        <w:t>THF</w:t>
      </w:r>
      <w:r w:rsidRPr="008E335E">
        <w:rPr>
          <w:rStyle w:val="Emphasis"/>
        </w:rPr>
        <w:t xml:space="preserve">. Review this document and supply the information required in order to make it specific to your laboratory. In accordance with this document, laboratories should use appropriate controls, personal protective equipment, and disposal techniques when handling </w:t>
      </w:r>
      <w:r>
        <w:rPr>
          <w:rStyle w:val="Emphasis"/>
        </w:rPr>
        <w:t>THF</w:t>
      </w:r>
      <w:r w:rsidRPr="008E335E">
        <w:rPr>
          <w:rStyle w:val="Emphasis"/>
        </w:rPr>
        <w:t>.</w:t>
      </w:r>
      <w:r w:rsidR="004B772D" w:rsidRPr="00D174B1">
        <w:rPr>
          <w:rStyle w:val="Emphasis"/>
        </w:rPr>
        <w:t xml:space="preserve"> </w:t>
      </w:r>
      <w:bookmarkStart w:id="0" w:name="_GoBack"/>
      <w:bookmarkEnd w:id="0"/>
      <w:r w:rsidR="004B772D">
        <w:rPr>
          <w:rStyle w:val="Emphasis"/>
          <w:rFonts w:ascii="Calibri" w:hAnsi="Calibri" w:cs="Calibri"/>
          <w:color w:val="222222"/>
        </w:rPr>
        <w:t>All laboratory workers must read and understand the </w:t>
      </w:r>
      <w:hyperlink r:id="rId8" w:tgtFrame="_blank" w:history="1">
        <w:r w:rsidR="004B772D">
          <w:rPr>
            <w:rStyle w:val="Hyperlink"/>
            <w:rFonts w:ascii="Calibri" w:hAnsi="Calibri" w:cs="Calibri"/>
            <w:i/>
            <w:iCs/>
            <w:color w:val="0563C1"/>
          </w:rPr>
          <w:t>Laboratory Emergencies SOP</w:t>
        </w:r>
      </w:hyperlink>
      <w:r w:rsidR="004B772D">
        <w:rPr>
          <w:rStyle w:val="Emphasis"/>
          <w:rFonts w:ascii="Calibri" w:hAnsi="Calibri" w:cs="Calibri"/>
          <w:color w:val="222222"/>
        </w:rPr>
        <w:t> prior to commencing any work in a laboratory.</w:t>
      </w:r>
    </w:p>
    <w:bookmarkStart w:id="1" w:name="_Toc480376096"/>
    <w:p w14:paraId="38979F09" w14:textId="75830A3B" w:rsidR="00EA2321" w:rsidRPr="008D6315" w:rsidRDefault="008572A7" w:rsidP="00E858A1">
      <w:pPr>
        <w:pStyle w:val="Heading1"/>
        <w:rPr>
          <w:sz w:val="22"/>
        </w:rPr>
      </w:pPr>
      <w:sdt>
        <w:sdtPr>
          <w:id w:val="2119714922"/>
          <w:lock w:val="contentLocked"/>
          <w:placeholder>
            <w:docPart w:val="DefaultPlaceholder_-1854013440"/>
          </w:placeholder>
          <w:group/>
        </w:sdtPr>
        <w:sdtEndPr/>
        <w:sdtContent>
          <w:r w:rsidR="00EA2321" w:rsidRPr="0072071F">
            <w:t>Description</w:t>
          </w:r>
          <w:bookmarkEnd w:id="1"/>
        </w:sdtContent>
      </w:sdt>
      <w:r w:rsidR="008D6315">
        <w:t xml:space="preserve"> </w:t>
      </w:r>
      <w:r w:rsidR="008D6315" w:rsidRPr="00AA4C07">
        <w:rPr>
          <w:sz w:val="22"/>
        </w:rPr>
        <w:t>[Provide additional information as it pertains to your research protocol]</w:t>
      </w:r>
    </w:p>
    <w:p w14:paraId="7826BF87" w14:textId="28C563B4" w:rsidR="008E335E" w:rsidRDefault="008E335E" w:rsidP="008E335E">
      <w:pPr>
        <w:rPr>
          <w:rFonts w:eastAsia="Times New Roman"/>
        </w:rPr>
      </w:pPr>
      <w:bookmarkStart w:id="2" w:name="_Toc480376097"/>
      <w:r>
        <w:rPr>
          <w:rFonts w:eastAsia="Times New Roman"/>
        </w:rPr>
        <w:t>THF</w:t>
      </w:r>
      <w:r w:rsidRPr="009C6F33">
        <w:rPr>
          <w:rFonts w:eastAsia="Times New Roman"/>
        </w:rPr>
        <w:t xml:space="preserve"> </w:t>
      </w:r>
      <w:r w:rsidRPr="0056066C">
        <w:rPr>
          <w:rFonts w:eastAsia="Times New Roman"/>
        </w:rPr>
        <w:t>(CAS #</w:t>
      </w:r>
      <w:r>
        <w:rPr>
          <w:rFonts w:eastAsia="Times New Roman"/>
        </w:rPr>
        <w:t>109</w:t>
      </w:r>
      <w:r w:rsidRPr="0056066C">
        <w:rPr>
          <w:rFonts w:eastAsia="Times New Roman"/>
        </w:rPr>
        <w:t>-</w:t>
      </w:r>
      <w:r>
        <w:rPr>
          <w:rFonts w:eastAsia="Times New Roman"/>
        </w:rPr>
        <w:t>9</w:t>
      </w:r>
      <w:r w:rsidRPr="0056066C">
        <w:rPr>
          <w:rFonts w:eastAsia="Times New Roman"/>
        </w:rPr>
        <w:t>9-</w:t>
      </w:r>
      <w:r>
        <w:rPr>
          <w:rFonts w:eastAsia="Times New Roman"/>
        </w:rPr>
        <w:t>9</w:t>
      </w:r>
      <w:r w:rsidRPr="0056066C">
        <w:rPr>
          <w:rFonts w:eastAsia="Times New Roman"/>
        </w:rPr>
        <w:t xml:space="preserve">) </w:t>
      </w:r>
      <w:r w:rsidRPr="009C6F33">
        <w:rPr>
          <w:rFonts w:eastAsia="Times New Roman"/>
        </w:rPr>
        <w:t>is a</w:t>
      </w:r>
      <w:r>
        <w:rPr>
          <w:rFonts w:eastAsia="Times New Roman"/>
        </w:rPr>
        <w:t xml:space="preserve"> </w:t>
      </w:r>
      <w:r w:rsidRPr="00CF05A6">
        <w:rPr>
          <w:rFonts w:eastAsia="Times New Roman" w:cstheme="minorHAnsi"/>
        </w:rPr>
        <w:t xml:space="preserve">colorless, </w:t>
      </w:r>
      <w:r>
        <w:rPr>
          <w:rFonts w:eastAsia="Times New Roman" w:cstheme="minorHAnsi"/>
          <w:b/>
        </w:rPr>
        <w:t>highly</w:t>
      </w:r>
      <w:r w:rsidRPr="00EE0609">
        <w:rPr>
          <w:rFonts w:eastAsia="Times New Roman" w:cstheme="minorHAnsi"/>
          <w:b/>
        </w:rPr>
        <w:t xml:space="preserve"> flammable</w:t>
      </w:r>
      <w:r w:rsidRPr="00CF05A6">
        <w:rPr>
          <w:rFonts w:eastAsia="Times New Roman" w:cstheme="minorHAnsi"/>
        </w:rPr>
        <w:t xml:space="preserve"> liquid with an ether-like odor</w:t>
      </w:r>
      <w:r w:rsidRPr="0056066C">
        <w:rPr>
          <w:rFonts w:eastAsia="Times New Roman"/>
        </w:rPr>
        <w:t xml:space="preserve"> that can be detected as low as </w:t>
      </w:r>
      <w:r>
        <w:rPr>
          <w:rFonts w:eastAsia="Times New Roman"/>
        </w:rPr>
        <w:t>4</w:t>
      </w:r>
      <w:r w:rsidRPr="0056066C">
        <w:rPr>
          <w:rFonts w:eastAsia="Times New Roman"/>
        </w:rPr>
        <w:t xml:space="preserve"> ppm (odor threshold)</w:t>
      </w:r>
      <w:r>
        <w:rPr>
          <w:rFonts w:eastAsia="Times New Roman"/>
        </w:rPr>
        <w:t>.</w:t>
      </w:r>
      <w:r w:rsidR="00FB1FF5">
        <w:rPr>
          <w:rFonts w:eastAsia="Times New Roman"/>
        </w:rPr>
        <w:t xml:space="preserve"> </w:t>
      </w:r>
    </w:p>
    <w:p w14:paraId="53ADB2D9" w14:textId="02A7798D" w:rsidR="008E335E" w:rsidRPr="00837E27" w:rsidRDefault="008E335E" w:rsidP="008E335E">
      <w:pPr>
        <w:rPr>
          <w:rFonts w:eastAsia="Times New Roman" w:cstheme="minorHAnsi"/>
        </w:rPr>
      </w:pPr>
      <w:r w:rsidRPr="00E46D8A">
        <w:rPr>
          <w:rFonts w:eastAsia="Times New Roman" w:cstheme="minorHAnsi"/>
        </w:rPr>
        <w:t>It is used in industry primarily as a solvent for various polymers</w:t>
      </w:r>
      <w:r>
        <w:rPr>
          <w:rFonts w:eastAsia="Times New Roman" w:cstheme="minorHAnsi"/>
        </w:rPr>
        <w:t xml:space="preserve">, </w:t>
      </w:r>
      <w:r w:rsidRPr="00E46D8A">
        <w:rPr>
          <w:rFonts w:eastAsia="Times New Roman" w:cstheme="minorHAnsi"/>
        </w:rPr>
        <w:t>resins</w:t>
      </w:r>
      <w:r>
        <w:rPr>
          <w:rFonts w:eastAsia="Times New Roman" w:cstheme="minorHAnsi"/>
        </w:rPr>
        <w:t xml:space="preserve"> and </w:t>
      </w:r>
      <w:r w:rsidRPr="00E46D8A">
        <w:rPr>
          <w:rFonts w:eastAsia="Times New Roman" w:cstheme="minorHAnsi"/>
        </w:rPr>
        <w:t>also used in rubber production, cellophane, adhesives, magnetic tapes and printing inks.</w:t>
      </w:r>
      <w:r>
        <w:rPr>
          <w:rFonts w:eastAsia="Times New Roman" w:cstheme="minorHAnsi"/>
        </w:rPr>
        <w:t xml:space="preserve">  It is also an </w:t>
      </w:r>
      <w:r w:rsidRPr="00E46D8A">
        <w:rPr>
          <w:rFonts w:cs="Arial"/>
          <w:shd w:val="clear" w:color="auto" w:fill="FFFFFF"/>
        </w:rPr>
        <w:t>industrial solvent for</w:t>
      </w:r>
      <w:r>
        <w:rPr>
          <w:rFonts w:cs="Arial"/>
          <w:shd w:val="clear" w:color="auto" w:fill="FFFFFF"/>
        </w:rPr>
        <w:t xml:space="preserve"> </w:t>
      </w:r>
      <w:r w:rsidRPr="00E46D8A">
        <w:rPr>
          <w:rFonts w:cs="Arial"/>
          <w:shd w:val="clear" w:color="auto" w:fill="FFFFFF"/>
        </w:rPr>
        <w:t>PVC</w:t>
      </w:r>
      <w:r>
        <w:rPr>
          <w:rFonts w:cs="Arial"/>
          <w:shd w:val="clear" w:color="auto" w:fill="FFFFFF"/>
        </w:rPr>
        <w:t xml:space="preserve">, is used </w:t>
      </w:r>
      <w:r w:rsidRPr="00E46D8A">
        <w:rPr>
          <w:rFonts w:cs="Arial"/>
          <w:shd w:val="clear" w:color="auto" w:fill="FFFFFF"/>
        </w:rPr>
        <w:t>in</w:t>
      </w:r>
      <w:r>
        <w:rPr>
          <w:rFonts w:cs="Arial"/>
          <w:shd w:val="clear" w:color="auto" w:fill="FFFFFF"/>
        </w:rPr>
        <w:t xml:space="preserve"> </w:t>
      </w:r>
      <w:r w:rsidRPr="00E46D8A">
        <w:rPr>
          <w:rFonts w:cs="Arial"/>
          <w:shd w:val="clear" w:color="auto" w:fill="FFFFFF"/>
        </w:rPr>
        <w:t>varnishes</w:t>
      </w:r>
      <w:r>
        <w:rPr>
          <w:rFonts w:cs="Arial"/>
          <w:shd w:val="clear" w:color="auto" w:fill="FFFFFF"/>
        </w:rPr>
        <w:t xml:space="preserve"> and </w:t>
      </w:r>
      <w:r w:rsidRPr="00E46D8A">
        <w:rPr>
          <w:rFonts w:cs="Arial"/>
        </w:rPr>
        <w:t>to</w:t>
      </w:r>
      <w:r>
        <w:rPr>
          <w:rFonts w:cs="Arial"/>
        </w:rPr>
        <w:t xml:space="preserve"> </w:t>
      </w:r>
      <w:r w:rsidRPr="00E46D8A">
        <w:rPr>
          <w:rFonts w:cs="Arial"/>
        </w:rPr>
        <w:t>degrease</w:t>
      </w:r>
      <w:r>
        <w:rPr>
          <w:rFonts w:cs="Arial"/>
        </w:rPr>
        <w:t xml:space="preserve"> </w:t>
      </w:r>
      <w:r w:rsidRPr="00E46D8A">
        <w:rPr>
          <w:rFonts w:cs="Arial"/>
        </w:rPr>
        <w:t>metal parts</w:t>
      </w:r>
      <w:r w:rsidRPr="00E46D8A">
        <w:rPr>
          <w:rFonts w:cs="Arial"/>
          <w:shd w:val="clear" w:color="auto" w:fill="FFFFFF"/>
        </w:rPr>
        <w:t>.</w:t>
      </w:r>
      <w:r>
        <w:rPr>
          <w:rFonts w:cs="Arial"/>
          <w:shd w:val="clear" w:color="auto" w:fill="FFFFFF"/>
        </w:rPr>
        <w:t xml:space="preserve"> </w:t>
      </w:r>
      <w:r w:rsidRPr="00E46D8A">
        <w:rPr>
          <w:rFonts w:cs="Arial"/>
          <w:shd w:val="clear" w:color="auto" w:fill="FFFFFF"/>
        </w:rPr>
        <w:t>It is a moderately polar solvent and can dissolve a wide range of nonpolar and polar chemical compounds</w:t>
      </w:r>
      <w:r>
        <w:rPr>
          <w:rFonts w:cs="Arial"/>
          <w:shd w:val="clear" w:color="auto" w:fill="FFFFFF"/>
        </w:rPr>
        <w:t>.</w:t>
      </w:r>
    </w:p>
    <w:p w14:paraId="49B30D18" w14:textId="7AA204DB" w:rsidR="008E335E" w:rsidRDefault="008E335E" w:rsidP="008E335E">
      <w:pPr>
        <w:rPr>
          <w:rFonts w:eastAsia="Times New Roman" w:cstheme="minorHAnsi"/>
        </w:rPr>
      </w:pPr>
      <w:r w:rsidRPr="00A656B0">
        <w:rPr>
          <w:rFonts w:cs="Arial"/>
          <w:b/>
          <w:i/>
          <w:noProof/>
          <w:color w:val="FF0000"/>
          <w:shd w:val="clear" w:color="auto" w:fill="FFFFFF"/>
        </w:rPr>
        <w:drawing>
          <wp:anchor distT="0" distB="0" distL="114300" distR="114300" simplePos="0" relativeHeight="251666432" behindDoc="0" locked="0" layoutInCell="1" allowOverlap="1" wp14:anchorId="3A9E8D36" wp14:editId="14960620">
            <wp:simplePos x="0" y="0"/>
            <wp:positionH relativeFrom="column">
              <wp:posOffset>5063490</wp:posOffset>
            </wp:positionH>
            <wp:positionV relativeFrom="paragraph">
              <wp:posOffset>792929</wp:posOffset>
            </wp:positionV>
            <wp:extent cx="281305" cy="245110"/>
            <wp:effectExtent l="0" t="0" r="4445" b="2540"/>
            <wp:wrapNone/>
            <wp:docPr id="6"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A656B0">
        <w:rPr>
          <w:rFonts w:cs="Arial"/>
          <w:b/>
          <w:i/>
          <w:noProof/>
          <w:color w:val="FF0000"/>
          <w:shd w:val="clear" w:color="auto" w:fill="FFFFFF"/>
        </w:rPr>
        <w:drawing>
          <wp:anchor distT="0" distB="0" distL="114300" distR="114300" simplePos="0" relativeHeight="251665408" behindDoc="0" locked="0" layoutInCell="1" allowOverlap="1" wp14:anchorId="64AF827B" wp14:editId="4EEA5A0C">
            <wp:simplePos x="0" y="0"/>
            <wp:positionH relativeFrom="column">
              <wp:posOffset>874395</wp:posOffset>
            </wp:positionH>
            <wp:positionV relativeFrom="paragraph">
              <wp:posOffset>799914</wp:posOffset>
            </wp:positionV>
            <wp:extent cx="281305" cy="245110"/>
            <wp:effectExtent l="0" t="0" r="4445" b="2540"/>
            <wp:wrapNone/>
            <wp:docPr id="4"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46D8A">
        <w:rPr>
          <w:rFonts w:cs="Arial"/>
        </w:rPr>
        <w:t>THF is often used in polymer science</w:t>
      </w:r>
      <w:r>
        <w:rPr>
          <w:rFonts w:cs="Arial"/>
        </w:rPr>
        <w:t xml:space="preserve">, e.g., </w:t>
      </w:r>
      <w:r w:rsidRPr="00E46D8A">
        <w:rPr>
          <w:rFonts w:cs="Arial"/>
        </w:rPr>
        <w:t>to dissolve</w:t>
      </w:r>
      <w:r>
        <w:rPr>
          <w:rFonts w:cs="Arial"/>
        </w:rPr>
        <w:t xml:space="preserve"> </w:t>
      </w:r>
      <w:r w:rsidRPr="00E46D8A">
        <w:rPr>
          <w:rFonts w:cs="Arial"/>
        </w:rPr>
        <w:t>polymers</w:t>
      </w:r>
      <w:r>
        <w:rPr>
          <w:rFonts w:cs="Arial"/>
        </w:rPr>
        <w:t xml:space="preserve"> </w:t>
      </w:r>
      <w:r w:rsidRPr="00E46D8A">
        <w:rPr>
          <w:rFonts w:cs="Arial"/>
        </w:rPr>
        <w:t>prior to determining their molecular mass using</w:t>
      </w:r>
      <w:r>
        <w:rPr>
          <w:rFonts w:cs="Arial"/>
        </w:rPr>
        <w:t xml:space="preserve"> </w:t>
      </w:r>
      <w:r w:rsidRPr="00E46D8A">
        <w:rPr>
          <w:rFonts w:cs="Arial"/>
        </w:rPr>
        <w:t>gel permeation chromatography</w:t>
      </w:r>
      <w:r>
        <w:rPr>
          <w:rFonts w:cs="Arial"/>
        </w:rPr>
        <w:t xml:space="preserve"> and </w:t>
      </w:r>
      <w:r w:rsidRPr="00E46D8A">
        <w:rPr>
          <w:rFonts w:cs="Arial"/>
        </w:rPr>
        <w:t>as a component in mobile phases for reversed-phase liquid chromatography</w:t>
      </w:r>
      <w:r w:rsidR="003A281C">
        <w:rPr>
          <w:rFonts w:cs="Arial"/>
        </w:rPr>
        <w:t xml:space="preserve">. </w:t>
      </w:r>
      <w:r w:rsidRPr="00E46D8A">
        <w:rPr>
          <w:rFonts w:cs="Arial"/>
          <w:shd w:val="clear" w:color="auto" w:fill="FFFFFF"/>
        </w:rPr>
        <w:t>THF is a popular solvent when a moderately higher-boiling ethereal solvent is required and its water miscibility is not an issue</w:t>
      </w:r>
      <w:r w:rsidRPr="00E46D8A">
        <w:rPr>
          <w:rFonts w:eastAsia="Times New Roman" w:cstheme="minorHAnsi"/>
        </w:rPr>
        <w:t xml:space="preserve">. </w:t>
      </w:r>
    </w:p>
    <w:p w14:paraId="750A23FD" w14:textId="01EB06C5" w:rsidR="008E335E" w:rsidRPr="00E46D8A" w:rsidRDefault="008E335E" w:rsidP="008E335E">
      <w:pPr>
        <w:pStyle w:val="NormalWeb"/>
        <w:shd w:val="clear" w:color="auto" w:fill="FFFFFF"/>
        <w:spacing w:before="96" w:after="120" w:line="288" w:lineRule="atLeast"/>
        <w:jc w:val="center"/>
        <w:rPr>
          <w:rFonts w:asciiTheme="minorHAnsi" w:eastAsia="Times New Roman" w:hAnsiTheme="minorHAnsi" w:cstheme="minorHAnsi"/>
          <w:b/>
          <w:color w:val="FF0000"/>
          <w:sz w:val="22"/>
          <w:szCs w:val="22"/>
        </w:rPr>
      </w:pPr>
      <w:r>
        <w:rPr>
          <w:rFonts w:asciiTheme="minorHAnsi" w:eastAsia="Times New Roman" w:hAnsiTheme="minorHAnsi" w:cstheme="minorHAnsi"/>
          <w:b/>
          <w:color w:val="FF0000"/>
          <w:sz w:val="22"/>
          <w:szCs w:val="22"/>
        </w:rPr>
        <w:t>THF</w:t>
      </w:r>
      <w:r w:rsidRPr="004E4748">
        <w:rPr>
          <w:rFonts w:asciiTheme="minorHAnsi" w:eastAsia="Times New Roman" w:hAnsiTheme="minorHAnsi" w:cstheme="minorHAnsi"/>
          <w:b/>
          <w:color w:val="FF0000"/>
          <w:sz w:val="22"/>
          <w:szCs w:val="22"/>
        </w:rPr>
        <w:t xml:space="preserve"> </w:t>
      </w:r>
      <w:r w:rsidRPr="00E46D8A">
        <w:rPr>
          <w:rFonts w:asciiTheme="minorHAnsi" w:eastAsia="Times New Roman" w:hAnsiTheme="minorHAnsi" w:cstheme="minorHAnsi"/>
          <w:b/>
          <w:color w:val="FF0000"/>
          <w:sz w:val="22"/>
          <w:szCs w:val="22"/>
        </w:rPr>
        <w:t xml:space="preserve">is capable of forming </w:t>
      </w:r>
      <w:r>
        <w:rPr>
          <w:rFonts w:asciiTheme="minorHAnsi" w:eastAsia="Times New Roman" w:hAnsiTheme="minorHAnsi" w:cstheme="minorHAnsi"/>
          <w:b/>
          <w:color w:val="FF0000"/>
          <w:sz w:val="22"/>
          <w:szCs w:val="22"/>
        </w:rPr>
        <w:t xml:space="preserve">explosive </w:t>
      </w:r>
      <w:r w:rsidRPr="00E46D8A">
        <w:rPr>
          <w:rFonts w:asciiTheme="minorHAnsi" w:eastAsia="Times New Roman" w:hAnsiTheme="minorHAnsi" w:cstheme="minorHAnsi"/>
          <w:b/>
          <w:color w:val="FF0000"/>
          <w:sz w:val="22"/>
          <w:szCs w:val="22"/>
        </w:rPr>
        <w:t>p</w:t>
      </w:r>
      <w:r>
        <w:rPr>
          <w:rFonts w:asciiTheme="minorHAnsi" w:eastAsia="Times New Roman" w:hAnsiTheme="minorHAnsi" w:cstheme="minorHAnsi"/>
          <w:b/>
          <w:color w:val="FF0000"/>
          <w:sz w:val="22"/>
          <w:szCs w:val="22"/>
        </w:rPr>
        <w:t>eroxides.</w:t>
      </w:r>
    </w:p>
    <w:p w14:paraId="21138BAF" w14:textId="7E3C0245" w:rsidR="008E335E" w:rsidRPr="00F31F31" w:rsidRDefault="008E335E" w:rsidP="008E335E">
      <w:pPr>
        <w:rPr>
          <w:rFonts w:eastAsia="Times New Roman" w:cstheme="minorHAnsi"/>
          <w:b/>
        </w:rPr>
      </w:pPr>
      <w:r w:rsidRPr="007D66BF">
        <w:t xml:space="preserve">Also, refer to the </w:t>
      </w:r>
      <w:r w:rsidR="007D66BF" w:rsidRPr="007D66BF">
        <w:t>Environment, Health &amp; Safety (</w:t>
      </w:r>
      <w:r w:rsidRPr="007D66BF">
        <w:t>EHS</w:t>
      </w:r>
      <w:r w:rsidR="007D66BF" w:rsidRPr="007D66BF">
        <w:t>)</w:t>
      </w:r>
      <w:r w:rsidRPr="00F31F31">
        <w:rPr>
          <w:rFonts w:eastAsia="Times New Roman" w:cstheme="minorHAnsi"/>
          <w:b/>
        </w:rPr>
        <w:t xml:space="preserve"> </w:t>
      </w:r>
      <w:hyperlink r:id="rId10" w:history="1">
        <w:r w:rsidRPr="001F3225">
          <w:rPr>
            <w:rStyle w:val="Hyperlink"/>
            <w:rFonts w:eastAsia="Times New Roman" w:cstheme="minorHAnsi"/>
          </w:rPr>
          <w:t>Peroxide Forming Materials SOP</w:t>
        </w:r>
      </w:hyperlink>
      <w:r w:rsidRPr="001F3225">
        <w:rPr>
          <w:rFonts w:eastAsia="Times New Roman" w:cstheme="minorHAnsi"/>
        </w:rPr>
        <w:t>.</w:t>
      </w:r>
    </w:p>
    <w:p w14:paraId="5F2C08C8" w14:textId="77777777" w:rsidR="008E335E" w:rsidRPr="00E8262E" w:rsidRDefault="008E335E" w:rsidP="008E335E">
      <w:pPr>
        <w:rPr>
          <w:rFonts w:eastAsia="Times New Roman" w:cstheme="minorHAnsi"/>
        </w:rPr>
      </w:pPr>
      <w:r w:rsidRPr="00E8262E">
        <w:rPr>
          <w:rFonts w:eastAsia="Times New Roman" w:cstheme="minorHAnsi"/>
        </w:rPr>
        <w:t>Synonyms include:  Diethylene oxide; 1</w:t>
      </w:r>
      <w:proofErr w:type="gramStart"/>
      <w:r w:rsidRPr="00E8262E">
        <w:rPr>
          <w:rFonts w:eastAsia="Times New Roman" w:cstheme="minorHAnsi"/>
        </w:rPr>
        <w:t>,4</w:t>
      </w:r>
      <w:proofErr w:type="gramEnd"/>
      <w:r w:rsidRPr="00E8262E">
        <w:rPr>
          <w:rFonts w:eastAsia="Times New Roman" w:cstheme="minorHAnsi"/>
        </w:rPr>
        <w:t xml:space="preserve">-Epoxybutane; </w:t>
      </w:r>
      <w:proofErr w:type="spellStart"/>
      <w:r w:rsidRPr="00E8262E">
        <w:rPr>
          <w:rFonts w:eastAsia="Times New Roman" w:cstheme="minorHAnsi"/>
        </w:rPr>
        <w:t>Tetramethylene</w:t>
      </w:r>
      <w:proofErr w:type="spellEnd"/>
      <w:r w:rsidRPr="00E8262E">
        <w:rPr>
          <w:rFonts w:eastAsia="Times New Roman" w:cstheme="minorHAnsi"/>
        </w:rPr>
        <w:t xml:space="preserve"> oxide; THF; </w:t>
      </w:r>
      <w:proofErr w:type="spellStart"/>
      <w:r w:rsidRPr="00E8262E">
        <w:rPr>
          <w:rFonts w:eastAsia="Times New Roman" w:cstheme="minorHAnsi"/>
        </w:rPr>
        <w:t>Oxacyclopentane</w:t>
      </w:r>
      <w:proofErr w:type="spellEnd"/>
      <w:r w:rsidRPr="00E8262E">
        <w:rPr>
          <w:rFonts w:eastAsia="Times New Roman" w:cstheme="minorHAnsi"/>
        </w:rPr>
        <w:t>. </w:t>
      </w:r>
    </w:p>
    <w:p w14:paraId="0CE9370C" w14:textId="4255F10C" w:rsidR="008E335E" w:rsidRPr="00693BDB" w:rsidRDefault="008E335E" w:rsidP="008E335E">
      <w:pPr>
        <w:pStyle w:val="Heading2"/>
        <w:rPr>
          <w:rFonts w:eastAsia="Times New Roman"/>
        </w:rPr>
      </w:pPr>
      <w:r w:rsidRPr="00693BDB">
        <w:rPr>
          <w:rFonts w:eastAsia="Times New Roman"/>
        </w:rPr>
        <w:t xml:space="preserve">Useful </w:t>
      </w:r>
      <w:r>
        <w:rPr>
          <w:rFonts w:eastAsia="Times New Roman"/>
        </w:rPr>
        <w:t>THF</w:t>
      </w:r>
      <w:r w:rsidRPr="00693BDB">
        <w:rPr>
          <w:rFonts w:eastAsia="Times New Roman"/>
        </w:rPr>
        <w:t xml:space="preserve"> Links:</w:t>
      </w:r>
    </w:p>
    <w:p w14:paraId="69F180FA" w14:textId="77777777" w:rsidR="008E335E" w:rsidRPr="00D65644" w:rsidRDefault="008572A7" w:rsidP="000431DE">
      <w:pPr>
        <w:pStyle w:val="ListParagraph"/>
        <w:numPr>
          <w:ilvl w:val="0"/>
          <w:numId w:val="16"/>
        </w:numPr>
        <w:spacing w:before="7" w:after="0" w:line="274" w:lineRule="exact"/>
        <w:jc w:val="both"/>
        <w:rPr>
          <w:rFonts w:eastAsia="Times New Roman" w:cstheme="minorHAnsi"/>
        </w:rPr>
      </w:pPr>
      <w:hyperlink r:id="rId11" w:history="1">
        <w:r w:rsidR="008E335E" w:rsidRPr="00D65644">
          <w:rPr>
            <w:rStyle w:val="Hyperlink"/>
            <w:rFonts w:eastAsia="Times New Roman" w:cstheme="minorHAnsi"/>
          </w:rPr>
          <w:t>http://www.cdc.gov/niosh/npg/npgd0602.html</w:t>
        </w:r>
      </w:hyperlink>
    </w:p>
    <w:p w14:paraId="2BBCEEC4" w14:textId="153B543E" w:rsidR="00EA2321" w:rsidRPr="002E2AA3" w:rsidRDefault="008572A7" w:rsidP="00E858A1">
      <w:pPr>
        <w:pStyle w:val="ListParagraph"/>
        <w:numPr>
          <w:ilvl w:val="0"/>
          <w:numId w:val="16"/>
        </w:numPr>
        <w:spacing w:before="7" w:after="0" w:line="274" w:lineRule="exact"/>
        <w:jc w:val="both"/>
        <w:rPr>
          <w:rFonts w:eastAsia="Times New Roman" w:cstheme="minorHAnsi"/>
          <w:color w:val="0563C1" w:themeColor="hyperlink"/>
          <w:u w:val="single"/>
        </w:rPr>
      </w:pPr>
      <w:hyperlink r:id="rId12" w:history="1">
        <w:r w:rsidR="008E335E" w:rsidRPr="005A2BBB">
          <w:rPr>
            <w:rStyle w:val="Hyperlink"/>
            <w:rFonts w:eastAsia="Times New Roman" w:cstheme="minorHAnsi"/>
          </w:rPr>
          <w:t>http://www.nap.edu/openbook.php?record_id=4911&amp;page=402</w:t>
        </w:r>
      </w:hyperlink>
    </w:p>
    <w:p w14:paraId="448C0D65" w14:textId="6DC3391D" w:rsidR="00EA2321" w:rsidRPr="008D6315" w:rsidRDefault="00EA2321" w:rsidP="00EA2321">
      <w:pPr>
        <w:pStyle w:val="Heading2"/>
        <w:rPr>
          <w:sz w:val="22"/>
        </w:rPr>
      </w:pPr>
      <w:r>
        <w:t>Process</w:t>
      </w:r>
      <w:r w:rsidR="008D6315">
        <w:t xml:space="preserve"> </w:t>
      </w:r>
      <w:r w:rsidR="008D6315" w:rsidRPr="00AA4C07">
        <w:rPr>
          <w:sz w:val="22"/>
        </w:rPr>
        <w:t>[Write the steps for using the chemical in your research protocol]</w:t>
      </w:r>
    </w:p>
    <w:p w14:paraId="7FB533D8" w14:textId="6D0CCA22" w:rsidR="00EA2321" w:rsidRPr="008D6315" w:rsidRDefault="008572A7" w:rsidP="00E858A1">
      <w:pPr>
        <w:pStyle w:val="Heading1"/>
        <w:rPr>
          <w:sz w:val="22"/>
        </w:rPr>
      </w:pPr>
      <w:sdt>
        <w:sdtPr>
          <w:id w:val="1030146602"/>
          <w:lock w:val="contentLocked"/>
          <w:placeholder>
            <w:docPart w:val="DefaultPlaceholder_-1854013440"/>
          </w:placeholder>
          <w:group/>
        </w:sdtPr>
        <w:sdtEndPr/>
        <w:sdtContent>
          <w:r w:rsidR="00EA2321" w:rsidRPr="0072071F">
            <w:t>Potential Hazards</w:t>
          </w:r>
          <w:bookmarkEnd w:id="2"/>
        </w:sdtContent>
      </w:sdt>
      <w:r w:rsidR="008D6315">
        <w:t xml:space="preserve"> </w:t>
      </w:r>
      <w:r w:rsidR="008D6315" w:rsidRPr="00AA4C07">
        <w:rPr>
          <w:sz w:val="22"/>
        </w:rPr>
        <w:t>[Provide additional information as it pertains to your research protocol]</w:t>
      </w:r>
    </w:p>
    <w:p w14:paraId="5C5D71AD" w14:textId="53F02620" w:rsidR="0081241F" w:rsidRPr="0076128E" w:rsidRDefault="0081241F" w:rsidP="000431DE">
      <w:pPr>
        <w:pStyle w:val="ListParagraph"/>
        <w:numPr>
          <w:ilvl w:val="0"/>
          <w:numId w:val="17"/>
        </w:numPr>
      </w:pPr>
      <w:r w:rsidRPr="0076128E">
        <w:t xml:space="preserve">THF is </w:t>
      </w:r>
      <w:r w:rsidRPr="008E335E">
        <w:rPr>
          <w:b/>
          <w:i/>
        </w:rPr>
        <w:t>highly</w:t>
      </w:r>
      <w:r w:rsidRPr="008E335E">
        <w:rPr>
          <w:b/>
        </w:rPr>
        <w:t xml:space="preserve"> </w:t>
      </w:r>
      <w:r w:rsidRPr="008E335E">
        <w:rPr>
          <w:b/>
          <w:i/>
        </w:rPr>
        <w:t>flammable</w:t>
      </w:r>
      <w:r w:rsidR="003A281C">
        <w:t xml:space="preserve">. </w:t>
      </w:r>
      <w:r w:rsidRPr="0076128E">
        <w:t>Its vapor can travel a significant distance through the air to an ignition source and flash back.</w:t>
      </w:r>
    </w:p>
    <w:p w14:paraId="07DEF389" w14:textId="0DEA06AF" w:rsidR="0081241F" w:rsidRPr="0076128E" w:rsidRDefault="0081241F" w:rsidP="000431DE">
      <w:pPr>
        <w:pStyle w:val="ListParagraph"/>
        <w:numPr>
          <w:ilvl w:val="0"/>
          <w:numId w:val="17"/>
        </w:numPr>
      </w:pPr>
      <w:r w:rsidRPr="0076128E">
        <w:t>A 5% solution</w:t>
      </w:r>
      <w:r w:rsidR="003A281C">
        <w:t xml:space="preserve"> of THF in water is flammable. </w:t>
      </w:r>
      <w:r w:rsidRPr="0076128E">
        <w:t xml:space="preserve">THF vapors </w:t>
      </w:r>
      <w:r>
        <w:t xml:space="preserve">may </w:t>
      </w:r>
      <w:r w:rsidRPr="0076128E">
        <w:t>form explosive air mixtures at concentrations of 2-12% by volume.</w:t>
      </w:r>
    </w:p>
    <w:p w14:paraId="0F3181A6" w14:textId="1723FB77" w:rsidR="0081241F" w:rsidRPr="0076128E" w:rsidRDefault="0081241F" w:rsidP="000431DE">
      <w:pPr>
        <w:pStyle w:val="ListParagraph"/>
        <w:numPr>
          <w:ilvl w:val="0"/>
          <w:numId w:val="17"/>
        </w:numPr>
      </w:pPr>
      <w:r w:rsidRPr="0076128E">
        <w:lastRenderedPageBreak/>
        <w:t xml:space="preserve">When exposed to air, THF </w:t>
      </w:r>
      <w:r>
        <w:t xml:space="preserve">may </w:t>
      </w:r>
      <w:r w:rsidRPr="0076128E">
        <w:t xml:space="preserve">form </w:t>
      </w:r>
      <w:r>
        <w:t xml:space="preserve">explosive </w:t>
      </w:r>
      <w:r w:rsidRPr="0076128E">
        <w:t xml:space="preserve">peroxides if concentrated </w:t>
      </w:r>
      <w:r w:rsidR="003A281C">
        <w:t>by distillation or evaporation.</w:t>
      </w:r>
      <w:r w:rsidRPr="0076128E">
        <w:t xml:space="preserve"> Light exposure may also exacerbate peroxide formation.</w:t>
      </w:r>
    </w:p>
    <w:p w14:paraId="79477D97" w14:textId="77777777" w:rsidR="0081241F" w:rsidRPr="0076128E" w:rsidRDefault="0081241F" w:rsidP="000431DE">
      <w:pPr>
        <w:pStyle w:val="ListParagraph"/>
        <w:numPr>
          <w:ilvl w:val="0"/>
          <w:numId w:val="17"/>
        </w:numPr>
      </w:pPr>
      <w:r w:rsidRPr="0076128E">
        <w:t>THF may react violently with strong oxidizers.</w:t>
      </w:r>
    </w:p>
    <w:p w14:paraId="46AA0437" w14:textId="77777777" w:rsidR="0081241F" w:rsidRPr="0076128E" w:rsidRDefault="0081241F" w:rsidP="000431DE">
      <w:pPr>
        <w:pStyle w:val="ListParagraph"/>
        <w:numPr>
          <w:ilvl w:val="0"/>
          <w:numId w:val="17"/>
        </w:numPr>
      </w:pPr>
      <w:r w:rsidRPr="0076128E">
        <w:t>THF is a severe eye irritant and skin irritant. Prolonged or repeated eye exposure may cause conjunctivitis; prolonged skin contact can cause defatting and dermatitis.</w:t>
      </w:r>
    </w:p>
    <w:p w14:paraId="03707D4A" w14:textId="77777777" w:rsidR="0081241F" w:rsidRDefault="0081241F" w:rsidP="0081241F">
      <w:pPr>
        <w:pStyle w:val="Heading2"/>
        <w:rPr>
          <w:rFonts w:eastAsia="Times New Roman"/>
        </w:rPr>
      </w:pPr>
      <w:r>
        <w:rPr>
          <w:rFonts w:eastAsia="Times New Roman"/>
        </w:rPr>
        <w:t>Occupational Exposure Limits (OELs)</w:t>
      </w:r>
    </w:p>
    <w:p w14:paraId="0D83220E" w14:textId="77777777" w:rsidR="0081241F" w:rsidRPr="008E335E" w:rsidRDefault="0081241F" w:rsidP="000431DE">
      <w:pPr>
        <w:pStyle w:val="ListParagraph"/>
        <w:numPr>
          <w:ilvl w:val="0"/>
          <w:numId w:val="18"/>
        </w:numPr>
        <w:rPr>
          <w:rFonts w:eastAsia="Times New Roman"/>
        </w:rPr>
      </w:pPr>
      <w:r w:rsidRPr="008E335E">
        <w:rPr>
          <w:rFonts w:eastAsia="Times New Roman"/>
        </w:rPr>
        <w:t xml:space="preserve">MIOSHA:  </w:t>
      </w:r>
      <w:r w:rsidRPr="008E335E">
        <w:rPr>
          <w:rStyle w:val="Strong"/>
        </w:rPr>
        <w:t>200 ppm, 8-hour</w:t>
      </w:r>
      <w:r w:rsidRPr="008E335E">
        <w:rPr>
          <w:rFonts w:eastAsia="Times New Roman"/>
        </w:rPr>
        <w:t xml:space="preserve"> PEL</w:t>
      </w:r>
    </w:p>
    <w:p w14:paraId="7ABE1FF7" w14:textId="77777777" w:rsidR="0081241F" w:rsidRPr="008E335E" w:rsidRDefault="0081241F" w:rsidP="000431DE">
      <w:pPr>
        <w:pStyle w:val="ListParagraph"/>
        <w:numPr>
          <w:ilvl w:val="0"/>
          <w:numId w:val="18"/>
        </w:numPr>
        <w:rPr>
          <w:rFonts w:eastAsia="Times New Roman"/>
        </w:rPr>
      </w:pPr>
      <w:r w:rsidRPr="008E335E">
        <w:rPr>
          <w:rFonts w:eastAsia="Times New Roman"/>
        </w:rPr>
        <w:t xml:space="preserve">MIOSHA:  </w:t>
      </w:r>
      <w:r w:rsidRPr="008E335E">
        <w:rPr>
          <w:rStyle w:val="Strong"/>
        </w:rPr>
        <w:t>250 ppm, 15-minute</w:t>
      </w:r>
      <w:r w:rsidRPr="008E335E">
        <w:rPr>
          <w:rFonts w:eastAsia="Times New Roman"/>
        </w:rPr>
        <w:t xml:space="preserve"> STEL</w:t>
      </w:r>
    </w:p>
    <w:p w14:paraId="6ADD3F5D" w14:textId="77777777" w:rsidR="0081241F" w:rsidRDefault="0081241F" w:rsidP="0081241F"/>
    <w:bookmarkStart w:id="3" w:name="_Toc480376099"/>
    <w:p w14:paraId="35444073" w14:textId="4BC16AE1" w:rsidR="00EA2321" w:rsidRPr="008D6315" w:rsidRDefault="008572A7" w:rsidP="00E858A1">
      <w:pPr>
        <w:pStyle w:val="Heading1"/>
        <w:rPr>
          <w:sz w:val="22"/>
        </w:rPr>
      </w:pPr>
      <w:sdt>
        <w:sdtPr>
          <w:id w:val="-1403289010"/>
          <w:lock w:val="contentLocked"/>
          <w:placeholder>
            <w:docPart w:val="DefaultPlaceholder_-1854013440"/>
          </w:placeholder>
          <w:group/>
        </w:sdtPr>
        <w:sdtEndPr/>
        <w:sdtContent>
          <w:r w:rsidR="00EA2321" w:rsidRPr="0072071F">
            <w:t>Engineering Controls</w:t>
          </w:r>
          <w:bookmarkEnd w:id="3"/>
        </w:sdtContent>
      </w:sdt>
      <w:r w:rsidR="008D6315">
        <w:t xml:space="preserve"> </w:t>
      </w:r>
      <w:r w:rsidR="008D6315" w:rsidRPr="00AA4C07">
        <w:rPr>
          <w:sz w:val="22"/>
        </w:rPr>
        <w:t>[Provide additional information as it pertains to your research protocol]</w:t>
      </w:r>
    </w:p>
    <w:p w14:paraId="5957303F" w14:textId="74554BD4" w:rsidR="0081241F" w:rsidRPr="0076128E" w:rsidRDefault="0081241F" w:rsidP="0081241F">
      <w:pPr>
        <w:spacing w:before="7" w:after="0" w:line="274" w:lineRule="exact"/>
        <w:jc w:val="both"/>
      </w:pPr>
      <w:r w:rsidRPr="0076128E">
        <w:t>All work with THF should be d</w:t>
      </w:r>
      <w:r w:rsidR="003A281C">
        <w:t xml:space="preserve">one in a well-ventilated area. </w:t>
      </w:r>
      <w:r w:rsidRPr="0076128E">
        <w:t xml:space="preserve">Work with large volumes or concentrated THF </w:t>
      </w:r>
      <w:r w:rsidRPr="00625F25">
        <w:rPr>
          <w:b/>
        </w:rPr>
        <w:t>must</w:t>
      </w:r>
      <w:r w:rsidRPr="0076128E">
        <w:t xml:space="preserve"> be done </w:t>
      </w:r>
      <w:r>
        <w:t>within</w:t>
      </w:r>
      <w:r w:rsidRPr="0076128E">
        <w:t xml:space="preserve"> the fume hood.</w:t>
      </w:r>
    </w:p>
    <w:p w14:paraId="7362FAD9" w14:textId="77777777" w:rsidR="0081241F" w:rsidRDefault="0081241F" w:rsidP="0081241F"/>
    <w:p w14:paraId="25169A12" w14:textId="7E107DE8" w:rsidR="00EA2321" w:rsidRPr="008D6315" w:rsidRDefault="00EA2321" w:rsidP="00E858A1">
      <w:pPr>
        <w:pStyle w:val="Heading1"/>
        <w:rPr>
          <w:sz w:val="22"/>
        </w:rPr>
      </w:pPr>
      <w:bookmarkStart w:id="4" w:name="_Toc480376100"/>
      <w:r w:rsidRPr="0072071F">
        <w:t>Work Practice Controls</w:t>
      </w:r>
      <w:bookmarkEnd w:id="4"/>
      <w:r w:rsidR="008D6315">
        <w:t xml:space="preserve"> </w:t>
      </w:r>
      <w:r w:rsidR="008D6315" w:rsidRPr="00AA4C07">
        <w:rPr>
          <w:sz w:val="22"/>
        </w:rPr>
        <w:t>[Provide additional information as it pertains to your research protocol]</w:t>
      </w:r>
    </w:p>
    <w:p w14:paraId="37EC6B6E" w14:textId="77777777" w:rsidR="0081241F" w:rsidRPr="0076128E" w:rsidRDefault="0081241F" w:rsidP="000431DE">
      <w:pPr>
        <w:pStyle w:val="ListParagraph"/>
        <w:numPr>
          <w:ilvl w:val="0"/>
          <w:numId w:val="19"/>
        </w:numPr>
      </w:pPr>
      <w:r w:rsidRPr="0076128E">
        <w:t>Eliminate ignition sources such as open flames, hot surfaces, steam baths, and operation of mechanical and electrical equipment that is not intrinsically safe.</w:t>
      </w:r>
    </w:p>
    <w:p w14:paraId="03E2249F" w14:textId="77777777" w:rsidR="0081241F" w:rsidRPr="0076128E" w:rsidRDefault="0081241F" w:rsidP="000431DE">
      <w:pPr>
        <w:pStyle w:val="ListParagraph"/>
        <w:numPr>
          <w:ilvl w:val="0"/>
          <w:numId w:val="19"/>
        </w:numPr>
      </w:pPr>
      <w:r w:rsidRPr="0076128E">
        <w:t>Keep container closed when not in use to minimize creation of flammable vapor concentrations.</w:t>
      </w:r>
    </w:p>
    <w:p w14:paraId="15A38A15" w14:textId="77777777" w:rsidR="0081241F" w:rsidRPr="0076128E" w:rsidRDefault="0081241F" w:rsidP="000431DE">
      <w:pPr>
        <w:pStyle w:val="ListParagraph"/>
        <w:numPr>
          <w:ilvl w:val="0"/>
          <w:numId w:val="19"/>
        </w:numPr>
      </w:pPr>
      <w:r w:rsidRPr="0076128E">
        <w:t>Ensure proper grounding and avoid creating static electricity. Be sure to ground metal containers when transferring flammable liquids.</w:t>
      </w:r>
    </w:p>
    <w:p w14:paraId="3DF50273" w14:textId="77777777" w:rsidR="0081241F" w:rsidRPr="0076128E" w:rsidRDefault="0081241F" w:rsidP="000431DE">
      <w:pPr>
        <w:pStyle w:val="ListParagraph"/>
        <w:numPr>
          <w:ilvl w:val="0"/>
          <w:numId w:val="19"/>
        </w:numPr>
      </w:pPr>
      <w:r w:rsidRPr="0076128E">
        <w:t>Maintain the smallest amount necessary for ongoing work. Use in the smallest practical quantities for the experiment being performed.</w:t>
      </w:r>
    </w:p>
    <w:p w14:paraId="7B6BBFCE" w14:textId="77777777" w:rsidR="0081241F" w:rsidRPr="0081241F" w:rsidRDefault="0081241F" w:rsidP="000431DE">
      <w:pPr>
        <w:pStyle w:val="ListParagraph"/>
        <w:numPr>
          <w:ilvl w:val="0"/>
          <w:numId w:val="19"/>
        </w:numPr>
        <w:rPr>
          <w:b/>
        </w:rPr>
      </w:pPr>
      <w:r w:rsidRPr="0081241F">
        <w:rPr>
          <w:b/>
          <w:u w:val="single"/>
        </w:rPr>
        <w:t>Never</w:t>
      </w:r>
      <w:r w:rsidRPr="0081241F">
        <w:rPr>
          <w:b/>
        </w:rPr>
        <w:t xml:space="preserve"> open a dented or otherwise compromised container of THF.</w:t>
      </w:r>
    </w:p>
    <w:p w14:paraId="6FAA2D5B" w14:textId="77777777" w:rsidR="0081241F" w:rsidRPr="0081241F" w:rsidRDefault="0081241F" w:rsidP="000431DE">
      <w:pPr>
        <w:pStyle w:val="ListParagraph"/>
        <w:numPr>
          <w:ilvl w:val="0"/>
          <w:numId w:val="19"/>
        </w:numPr>
        <w:rPr>
          <w:b/>
        </w:rPr>
      </w:pPr>
      <w:r w:rsidRPr="0081241F">
        <w:rPr>
          <w:b/>
        </w:rPr>
        <w:t>Purchase THF with inhibitors added (for peroxide-forming) when possible.</w:t>
      </w:r>
    </w:p>
    <w:p w14:paraId="6E9AEF12" w14:textId="77777777" w:rsidR="0081241F" w:rsidRPr="0081241F" w:rsidRDefault="0081241F" w:rsidP="000431DE">
      <w:pPr>
        <w:pStyle w:val="ListParagraph"/>
        <w:numPr>
          <w:ilvl w:val="0"/>
          <w:numId w:val="19"/>
        </w:numPr>
        <w:rPr>
          <w:b/>
        </w:rPr>
      </w:pPr>
      <w:r w:rsidRPr="0081241F">
        <w:rPr>
          <w:b/>
        </w:rPr>
        <w:t>Due to its peroxide-forming hazard, THF containers must be dated upon receipt and at the time they are opened.  If tested, note the date it was tested.</w:t>
      </w:r>
    </w:p>
    <w:p w14:paraId="48D27ED9" w14:textId="77777777" w:rsidR="0081241F" w:rsidRPr="0076128E" w:rsidRDefault="0081241F" w:rsidP="000431DE">
      <w:pPr>
        <w:pStyle w:val="ListParagraph"/>
        <w:numPr>
          <w:ilvl w:val="0"/>
          <w:numId w:val="19"/>
        </w:numPr>
      </w:pPr>
      <w:r w:rsidRPr="0076128E">
        <w:t xml:space="preserve">Periodically test THF containers with peroxide test strips. </w:t>
      </w:r>
    </w:p>
    <w:p w14:paraId="4E5927AB" w14:textId="77777777" w:rsidR="0081241F" w:rsidRPr="0081241F" w:rsidRDefault="0081241F" w:rsidP="000431DE">
      <w:pPr>
        <w:pStyle w:val="ListParagraph"/>
        <w:numPr>
          <w:ilvl w:val="0"/>
          <w:numId w:val="19"/>
        </w:numPr>
        <w:rPr>
          <w:b/>
        </w:rPr>
      </w:pPr>
      <w:r w:rsidRPr="0081241F">
        <w:rPr>
          <w:b/>
        </w:rPr>
        <w:t>Do not allow to evaporate to near dryness unless absence of peroxides has been shown.</w:t>
      </w:r>
    </w:p>
    <w:p w14:paraId="4D53A6FC" w14:textId="77777777" w:rsidR="0081241F" w:rsidRPr="0076128E" w:rsidRDefault="0081241F" w:rsidP="000431DE">
      <w:pPr>
        <w:pStyle w:val="ListParagraph"/>
        <w:numPr>
          <w:ilvl w:val="0"/>
          <w:numId w:val="19"/>
        </w:numPr>
      </w:pPr>
      <w:r>
        <w:t xml:space="preserve">Consult THF’s </w:t>
      </w:r>
      <w:r w:rsidRPr="0076128E">
        <w:t>SDS to determine how long an opened container can be used safely, and dispose of unused amounts after that period of time has passed (or if peroxides are found to be present by testing).</w:t>
      </w:r>
    </w:p>
    <w:p w14:paraId="1D39DF8D" w14:textId="77777777" w:rsidR="0081241F" w:rsidRPr="0076128E" w:rsidRDefault="0081241F" w:rsidP="000431DE">
      <w:pPr>
        <w:pStyle w:val="ListParagraph"/>
        <w:numPr>
          <w:ilvl w:val="0"/>
          <w:numId w:val="19"/>
        </w:numPr>
      </w:pPr>
      <w:r w:rsidRPr="0076128E">
        <w:t>Know the location of the nearest fire extinguisher before beginning work.</w:t>
      </w:r>
    </w:p>
    <w:p w14:paraId="6F217A68" w14:textId="77777777" w:rsidR="00EA2321" w:rsidRDefault="00EA2321" w:rsidP="0081241F"/>
    <w:bookmarkStart w:id="5" w:name="_Toc480376101"/>
    <w:p w14:paraId="78223617" w14:textId="70724942" w:rsidR="00EA2321" w:rsidRPr="008D6315" w:rsidRDefault="008572A7" w:rsidP="00E858A1">
      <w:pPr>
        <w:pStyle w:val="Heading1"/>
        <w:rPr>
          <w:sz w:val="22"/>
        </w:rPr>
      </w:pPr>
      <w:sdt>
        <w:sdtPr>
          <w:id w:val="-689837247"/>
          <w:lock w:val="contentLocked"/>
          <w:placeholder>
            <w:docPart w:val="DefaultPlaceholder_-1854013440"/>
          </w:placeholder>
          <w:group/>
        </w:sdtPr>
        <w:sdtEndPr/>
        <w:sdtContent>
          <w:r w:rsidR="007D66BF">
            <w:t xml:space="preserve">Personal </w:t>
          </w:r>
          <w:r w:rsidR="00EA2321" w:rsidRPr="0072071F">
            <w:t>Protective Equipment</w:t>
          </w:r>
          <w:bookmarkEnd w:id="5"/>
        </w:sdtContent>
      </w:sdt>
      <w:r w:rsidR="008D6315">
        <w:t xml:space="preserve"> </w:t>
      </w:r>
      <w:r w:rsidR="008D6315" w:rsidRPr="00AA4C07">
        <w:rPr>
          <w:sz w:val="22"/>
        </w:rPr>
        <w:t>[Provide additional information as it pertains to your research protocol]</w:t>
      </w:r>
    </w:p>
    <w:p w14:paraId="30F40E93" w14:textId="77777777" w:rsidR="0081241F" w:rsidRPr="00420FDD" w:rsidRDefault="0081241F" w:rsidP="0081241F">
      <w:r w:rsidRPr="00420FDD">
        <w:t>In order to select the appropriate PPE for the workplace, a Hazard Assessment is conducted. The hazard assessment determines the hazards and potential hazards associated with a task, machinery, or process. The appropriate PPE for the situation may be subsequently determined.</w:t>
      </w:r>
    </w:p>
    <w:p w14:paraId="1DDFF7EB" w14:textId="12BEDECD" w:rsidR="0081241F" w:rsidRPr="00420FDD" w:rsidRDefault="0081241F" w:rsidP="0081241F">
      <w:r w:rsidRPr="00420FDD">
        <w:t>The Hazard Assessment Form may be found</w:t>
      </w:r>
      <w:r w:rsidR="00E46ACD">
        <w:rPr>
          <w:rStyle w:val="apple-converted-space"/>
          <w:rFonts w:cs="Arial"/>
        </w:rPr>
        <w:t xml:space="preserve"> </w:t>
      </w:r>
      <w:hyperlink r:id="rId13" w:tgtFrame="_blank" w:history="1">
        <w:r w:rsidRPr="00D5795B">
          <w:rPr>
            <w:rStyle w:val="Hyperlink"/>
            <w:rFonts w:cs="Arial"/>
            <w:b/>
            <w:color w:val="0000FF"/>
            <w:szCs w:val="18"/>
          </w:rPr>
          <w:t>here</w:t>
        </w:r>
      </w:hyperlink>
      <w:r w:rsidRPr="00420FDD">
        <w:t xml:space="preserve">. It may be completed either by the workplace supervisor or the department’s </w:t>
      </w:r>
      <w:r w:rsidR="00FA1F16">
        <w:t>EHS</w:t>
      </w:r>
      <w:r w:rsidRPr="00420FDD">
        <w:t xml:space="preserve"> representative.</w:t>
      </w:r>
    </w:p>
    <w:p w14:paraId="31F22B92" w14:textId="5B749B0C" w:rsidR="0081241F" w:rsidRPr="0076128E" w:rsidRDefault="0081241F" w:rsidP="000431DE">
      <w:pPr>
        <w:pStyle w:val="ListParagraph"/>
        <w:numPr>
          <w:ilvl w:val="0"/>
          <w:numId w:val="20"/>
        </w:numPr>
      </w:pPr>
      <w:r w:rsidRPr="00473A7A">
        <w:t xml:space="preserve">Recommended gloves include </w:t>
      </w:r>
      <w:proofErr w:type="gramStart"/>
      <w:r w:rsidRPr="00473A7A">
        <w:t>Polyvinyl</w:t>
      </w:r>
      <w:proofErr w:type="gramEnd"/>
      <w:r w:rsidRPr="00473A7A">
        <w:t xml:space="preserve"> alcohol (PVA), Teflon, or 4H/Silver Shield brand (</w:t>
      </w:r>
      <w:proofErr w:type="spellStart"/>
      <w:r>
        <w:t>Norfoil</w:t>
      </w:r>
      <w:proofErr w:type="spellEnd"/>
      <w:r w:rsidRPr="00473A7A">
        <w:t>). Butyl or natural rubber offer short term protection and should be removed and discarded when material is spilled on them.</w:t>
      </w:r>
      <w:r>
        <w:br/>
      </w:r>
      <w:r>
        <w:br/>
      </w:r>
      <w:r w:rsidRPr="0081241F">
        <w:rPr>
          <w:rStyle w:val="Strong"/>
        </w:rPr>
        <w:t>NOTE</w:t>
      </w:r>
      <w:r w:rsidR="003A281C">
        <w:t>:</w:t>
      </w:r>
      <w:r>
        <w:t xml:space="preserve"> </w:t>
      </w:r>
      <w:r w:rsidRPr="0076128E">
        <w:t>THF permeates standard nitrile laboratory gloves in less than one minute and neoprene or latex in less than 2 minutes; thus, tasks should be planned to mi</w:t>
      </w:r>
      <w:r w:rsidR="003A281C">
        <w:t xml:space="preserve">nimize glove contact with THF. </w:t>
      </w:r>
      <w:r w:rsidRPr="0076128E">
        <w:t>If gloves become contaminated, change your gloves and wash your hands immediately to avoid skin exposure.</w:t>
      </w:r>
      <w:r>
        <w:br/>
      </w:r>
    </w:p>
    <w:p w14:paraId="327E51A3" w14:textId="42326418" w:rsidR="0081241F" w:rsidRDefault="0081241F" w:rsidP="000431DE">
      <w:pPr>
        <w:pStyle w:val="ListParagraph"/>
        <w:numPr>
          <w:ilvl w:val="0"/>
          <w:numId w:val="20"/>
        </w:numPr>
      </w:pPr>
      <w:r>
        <w:t>Lab</w:t>
      </w:r>
      <w:r w:rsidRPr="0076128E">
        <w:t xml:space="preserve"> coat, </w:t>
      </w:r>
      <w:r>
        <w:t xml:space="preserve">long pants, closed toe shoes </w:t>
      </w:r>
      <w:r w:rsidRPr="0076128E">
        <w:t xml:space="preserve">and safety glasses </w:t>
      </w:r>
      <w:r>
        <w:t>(</w:t>
      </w:r>
      <w:r w:rsidRPr="00473A7A">
        <w:t>ANSI/ISEA Z87.1 approved</w:t>
      </w:r>
      <w:r>
        <w:t xml:space="preserve">) </w:t>
      </w:r>
      <w:r w:rsidRPr="0076128E">
        <w:t>for all work with THF. If a splash may occur, chemical splash goggles and</w:t>
      </w:r>
      <w:r w:rsidR="005A434F">
        <w:t xml:space="preserve"> a</w:t>
      </w:r>
      <w:r w:rsidRPr="0076128E">
        <w:t xml:space="preserve"> face shield </w:t>
      </w:r>
      <w:r w:rsidRPr="00625F25">
        <w:rPr>
          <w:b/>
        </w:rPr>
        <w:t>must</w:t>
      </w:r>
      <w:r w:rsidRPr="0076128E">
        <w:t xml:space="preserve"> be worn.</w:t>
      </w:r>
    </w:p>
    <w:p w14:paraId="330EACA3" w14:textId="5BC9245E" w:rsidR="0081241F" w:rsidRPr="00341AD8" w:rsidRDefault="00FA1F16" w:rsidP="000431DE">
      <w:pPr>
        <w:pStyle w:val="ListParagraph"/>
        <w:numPr>
          <w:ilvl w:val="0"/>
          <w:numId w:val="20"/>
        </w:numPr>
      </w:pPr>
      <w:r>
        <w:rPr>
          <w:rFonts w:eastAsia="Times New Roman"/>
        </w:rPr>
        <w:t>The EHS</w:t>
      </w:r>
      <w:r w:rsidR="0081241F" w:rsidRPr="0081241F">
        <w:rPr>
          <w:rFonts w:eastAsia="Times New Roman"/>
        </w:rPr>
        <w:t xml:space="preserve"> </w:t>
      </w:r>
      <w:hyperlink r:id="rId14" w:history="1">
        <w:r w:rsidR="0081241F" w:rsidRPr="0081241F">
          <w:rPr>
            <w:rStyle w:val="Hyperlink"/>
            <w:rFonts w:eastAsia="Times New Roman" w:cs="Arial"/>
          </w:rPr>
          <w:t>Glove Compatibility</w:t>
        </w:r>
      </w:hyperlink>
      <w:r w:rsidR="0081241F" w:rsidRPr="0081241F">
        <w:rPr>
          <w:rFonts w:eastAsia="Times New Roman"/>
        </w:rPr>
        <w:t xml:space="preserve"> webpage can also be used to determine the recommended gloves.</w:t>
      </w:r>
    </w:p>
    <w:p w14:paraId="5501BB8F" w14:textId="77777777" w:rsidR="0081241F" w:rsidRPr="0076128E" w:rsidRDefault="0081241F" w:rsidP="000431DE">
      <w:pPr>
        <w:pStyle w:val="ListParagraph"/>
        <w:numPr>
          <w:ilvl w:val="0"/>
          <w:numId w:val="20"/>
        </w:numPr>
      </w:pPr>
      <w:r w:rsidRPr="0081241F">
        <w:rPr>
          <w:rFonts w:eastAsia="Times New Roman"/>
        </w:rPr>
        <w:t>Review THF’s SDS for more information.</w:t>
      </w:r>
    </w:p>
    <w:p w14:paraId="538210DB" w14:textId="77777777" w:rsidR="00EA2321" w:rsidRDefault="00EA2321" w:rsidP="0081241F"/>
    <w:bookmarkStart w:id="6" w:name="_Toc480376102"/>
    <w:p w14:paraId="015D0A20" w14:textId="3435031F" w:rsidR="00EA2321" w:rsidRPr="008D6315" w:rsidRDefault="008572A7" w:rsidP="00E858A1">
      <w:pPr>
        <w:pStyle w:val="Heading1"/>
        <w:rPr>
          <w:sz w:val="22"/>
        </w:rPr>
      </w:pPr>
      <w:sdt>
        <w:sdtPr>
          <w:id w:val="-510998299"/>
          <w:lock w:val="contentLocked"/>
          <w:placeholder>
            <w:docPart w:val="DefaultPlaceholder_-1854013440"/>
          </w:placeholder>
          <w:group/>
        </w:sdtPr>
        <w:sdtEndPr/>
        <w:sdtContent>
          <w:r w:rsidR="00EA2321" w:rsidRPr="0072071F">
            <w:t>Transportation and Storage</w:t>
          </w:r>
          <w:bookmarkEnd w:id="6"/>
        </w:sdtContent>
      </w:sdt>
      <w:r w:rsidR="008D6315">
        <w:t xml:space="preserve"> </w:t>
      </w:r>
      <w:r w:rsidR="008D6315" w:rsidRPr="00AA4C07">
        <w:rPr>
          <w:sz w:val="22"/>
        </w:rPr>
        <w:t>[Provide additional information as it pertains to your research protocol]</w:t>
      </w:r>
    </w:p>
    <w:p w14:paraId="3ED2703A" w14:textId="77777777" w:rsidR="0081241F" w:rsidRPr="0076128E" w:rsidRDefault="0081241F" w:rsidP="000431DE">
      <w:pPr>
        <w:pStyle w:val="ListParagraph"/>
        <w:numPr>
          <w:ilvl w:val="0"/>
          <w:numId w:val="21"/>
        </w:numPr>
      </w:pPr>
      <w:r w:rsidRPr="0076128E">
        <w:t>Transport THF in secondary containment, preferably a polyethylene or other non-reactive acid/solvent bottle carrier.</w:t>
      </w:r>
    </w:p>
    <w:p w14:paraId="2A283D29" w14:textId="77777777" w:rsidR="0081241F" w:rsidRPr="0076128E" w:rsidRDefault="0081241F" w:rsidP="000431DE">
      <w:pPr>
        <w:pStyle w:val="ListParagraph"/>
        <w:numPr>
          <w:ilvl w:val="0"/>
          <w:numId w:val="21"/>
        </w:numPr>
      </w:pPr>
      <w:r w:rsidRPr="0076128E">
        <w:t xml:space="preserve">THF should be stored with other flammables. Do not store THF near strong oxidizing agents, acids, bases, or organic alkali compounds. </w:t>
      </w:r>
    </w:p>
    <w:p w14:paraId="64BF0A6F" w14:textId="77777777" w:rsidR="0081241F" w:rsidRPr="0081241F" w:rsidRDefault="0081241F" w:rsidP="000431DE">
      <w:pPr>
        <w:pStyle w:val="ListParagraph"/>
        <w:numPr>
          <w:ilvl w:val="0"/>
          <w:numId w:val="21"/>
        </w:numPr>
        <w:rPr>
          <w:b/>
        </w:rPr>
      </w:pPr>
      <w:r w:rsidRPr="0081241F">
        <w:rPr>
          <w:b/>
        </w:rPr>
        <w:t>THF must be stored in an air-impermeable container and placed in a dark area to prevent further promotion of the peroxide-forming reaction.</w:t>
      </w:r>
    </w:p>
    <w:p w14:paraId="10003B8A" w14:textId="341517D3" w:rsidR="0081241F" w:rsidRPr="0076128E" w:rsidRDefault="0081241F" w:rsidP="000431DE">
      <w:pPr>
        <w:pStyle w:val="ListParagraph"/>
        <w:numPr>
          <w:ilvl w:val="0"/>
          <w:numId w:val="21"/>
        </w:numPr>
      </w:pPr>
      <w:r w:rsidRPr="0076128E">
        <w:t xml:space="preserve">Suitable fire control devices (such as fire extinguishers) </w:t>
      </w:r>
      <w:r w:rsidRPr="00625F25">
        <w:rPr>
          <w:b/>
        </w:rPr>
        <w:t>must</w:t>
      </w:r>
      <w:r w:rsidRPr="0076128E">
        <w:t xml:space="preserve"> be available at locations where flammable or combustible liquids are stored. Contact </w:t>
      </w:r>
      <w:r>
        <w:t xml:space="preserve">U-M’s </w:t>
      </w:r>
      <w:r w:rsidRPr="0076128E">
        <w:t xml:space="preserve">Fire </w:t>
      </w:r>
      <w:r>
        <w:t>Extinguisher</w:t>
      </w:r>
      <w:r w:rsidRPr="0076128E">
        <w:t xml:space="preserve"> </w:t>
      </w:r>
      <w:r>
        <w:t xml:space="preserve">Shop </w:t>
      </w:r>
      <w:r w:rsidRPr="0076128E">
        <w:t xml:space="preserve">at </w:t>
      </w:r>
      <w:r w:rsidRPr="00910F26">
        <w:t>(734) 647-2059</w:t>
      </w:r>
      <w:r w:rsidRPr="0076128E">
        <w:t xml:space="preserve"> for installation of appropriate devices.</w:t>
      </w:r>
    </w:p>
    <w:p w14:paraId="73F8D03B" w14:textId="77777777" w:rsidR="0081241F" w:rsidRPr="0076128E" w:rsidRDefault="0081241F" w:rsidP="000431DE">
      <w:pPr>
        <w:pStyle w:val="ListParagraph"/>
        <w:numPr>
          <w:ilvl w:val="0"/>
          <w:numId w:val="21"/>
        </w:numPr>
      </w:pPr>
      <w:r w:rsidRPr="0076128E">
        <w:t>Open flames shall not be permitted in flammable or co</w:t>
      </w:r>
      <w:r>
        <w:t>mbustible liquid storage areas</w:t>
      </w:r>
      <w:r w:rsidRPr="0076128E">
        <w:t>.</w:t>
      </w:r>
    </w:p>
    <w:p w14:paraId="2B5962FE" w14:textId="77777777" w:rsidR="0081241F" w:rsidRPr="0081241F" w:rsidRDefault="0081241F" w:rsidP="000431DE">
      <w:pPr>
        <w:pStyle w:val="ListParagraph"/>
        <w:numPr>
          <w:ilvl w:val="0"/>
          <w:numId w:val="21"/>
        </w:numPr>
        <w:rPr>
          <w:bCs/>
        </w:rPr>
      </w:pPr>
      <w:r w:rsidRPr="0081241F">
        <w:rPr>
          <w:bCs/>
        </w:rPr>
        <w:t>Avoid storing THF on the floor.</w:t>
      </w:r>
    </w:p>
    <w:p w14:paraId="1F3771FB" w14:textId="76EBCA2F" w:rsidR="0081241F" w:rsidRPr="0081241F" w:rsidRDefault="0081241F" w:rsidP="000431DE">
      <w:pPr>
        <w:pStyle w:val="ListParagraph"/>
        <w:numPr>
          <w:ilvl w:val="0"/>
          <w:numId w:val="21"/>
        </w:numPr>
        <w:rPr>
          <w:bCs/>
        </w:rPr>
      </w:pPr>
      <w:r w:rsidRPr="0081241F">
        <w:rPr>
          <w:color w:val="000000"/>
        </w:rPr>
        <w:t>Sto</w:t>
      </w:r>
      <w:r w:rsidR="003A281C">
        <w:rPr>
          <w:color w:val="000000"/>
        </w:rPr>
        <w:t>re THF protected from moisture.</w:t>
      </w:r>
    </w:p>
    <w:p w14:paraId="583C89DA" w14:textId="77777777" w:rsidR="00554613" w:rsidRPr="00554613" w:rsidRDefault="0081241F" w:rsidP="00554613">
      <w:pPr>
        <w:pStyle w:val="ListParagraph"/>
        <w:numPr>
          <w:ilvl w:val="0"/>
          <w:numId w:val="21"/>
        </w:numPr>
        <w:rPr>
          <w:bCs/>
        </w:rPr>
      </w:pPr>
      <w:r w:rsidRPr="0081241F">
        <w:rPr>
          <w:b/>
          <w:color w:val="000000"/>
        </w:rPr>
        <w:t>Containers should be dated when opened and tested periodically for the presence of peroxides</w:t>
      </w:r>
      <w:r w:rsidRPr="0081241F">
        <w:rPr>
          <w:color w:val="000000"/>
        </w:rPr>
        <w:t>.</w:t>
      </w:r>
    </w:p>
    <w:p w14:paraId="7E840292" w14:textId="15124E5A" w:rsidR="00554613" w:rsidRPr="00554613" w:rsidRDefault="00554613" w:rsidP="00554613">
      <w:pPr>
        <w:pStyle w:val="ListParagraph"/>
        <w:numPr>
          <w:ilvl w:val="1"/>
          <w:numId w:val="21"/>
        </w:numPr>
        <w:rPr>
          <w:b/>
          <w:bCs/>
        </w:rPr>
      </w:pPr>
      <w:r w:rsidRPr="00554613">
        <w:rPr>
          <w:b/>
          <w:color w:val="000000"/>
        </w:rPr>
        <w:t xml:space="preserve">Testing Frequency, </w:t>
      </w:r>
      <w:r w:rsidRPr="00554613">
        <w:rPr>
          <w:b/>
        </w:rPr>
        <w:t>Inhibited:</w:t>
      </w:r>
      <w:r w:rsidRPr="00554613">
        <w:rPr>
          <w:b/>
          <w:spacing w:val="-1"/>
        </w:rPr>
        <w:t xml:space="preserve"> </w:t>
      </w:r>
      <w:r w:rsidRPr="00554613">
        <w:rPr>
          <w:b/>
        </w:rPr>
        <w:t>12</w:t>
      </w:r>
      <w:r w:rsidRPr="00554613">
        <w:rPr>
          <w:b/>
          <w:spacing w:val="-1"/>
        </w:rPr>
        <w:t xml:space="preserve"> </w:t>
      </w:r>
      <w:r w:rsidRPr="00554613">
        <w:rPr>
          <w:b/>
        </w:rPr>
        <w:t>months</w:t>
      </w:r>
    </w:p>
    <w:p w14:paraId="48DD6A9F" w14:textId="29639AF2" w:rsidR="00554613" w:rsidRPr="00554613" w:rsidRDefault="00554613" w:rsidP="00554613">
      <w:pPr>
        <w:pStyle w:val="ListParagraph"/>
        <w:numPr>
          <w:ilvl w:val="1"/>
          <w:numId w:val="21"/>
        </w:numPr>
        <w:rPr>
          <w:b/>
          <w:bCs/>
        </w:rPr>
      </w:pPr>
      <w:r w:rsidRPr="00554613">
        <w:rPr>
          <w:b/>
        </w:rPr>
        <w:t>Testing</w:t>
      </w:r>
      <w:r w:rsidRPr="00554613">
        <w:rPr>
          <w:b/>
          <w:spacing w:val="-2"/>
        </w:rPr>
        <w:t xml:space="preserve"> </w:t>
      </w:r>
      <w:r w:rsidRPr="00554613">
        <w:rPr>
          <w:b/>
        </w:rPr>
        <w:t>Frequency,</w:t>
      </w:r>
      <w:r w:rsidRPr="00554613">
        <w:rPr>
          <w:b/>
          <w:spacing w:val="-4"/>
        </w:rPr>
        <w:t xml:space="preserve"> </w:t>
      </w:r>
      <w:r w:rsidRPr="00554613">
        <w:rPr>
          <w:b/>
        </w:rPr>
        <w:t>Uninhibited:</w:t>
      </w:r>
      <w:r w:rsidRPr="00554613">
        <w:rPr>
          <w:b/>
          <w:spacing w:val="-3"/>
        </w:rPr>
        <w:t xml:space="preserve"> </w:t>
      </w:r>
      <w:r w:rsidRPr="00554613">
        <w:rPr>
          <w:b/>
        </w:rPr>
        <w:t>3</w:t>
      </w:r>
      <w:r w:rsidRPr="00554613">
        <w:rPr>
          <w:b/>
          <w:spacing w:val="-1"/>
        </w:rPr>
        <w:t xml:space="preserve"> </w:t>
      </w:r>
      <w:r w:rsidRPr="00554613">
        <w:rPr>
          <w:b/>
        </w:rPr>
        <w:t>months</w:t>
      </w:r>
    </w:p>
    <w:p w14:paraId="733CA718" w14:textId="0BE086DC" w:rsidR="0081241F" w:rsidRPr="005D4117" w:rsidRDefault="00AF5238" w:rsidP="0081241F">
      <w:pPr>
        <w:spacing w:after="0" w:line="240" w:lineRule="auto"/>
        <w:ind w:left="630"/>
        <w:jc w:val="both"/>
        <w:rPr>
          <w:bCs/>
        </w:rPr>
      </w:pPr>
      <w:r w:rsidRPr="00867510">
        <w:rPr>
          <w:rFonts w:cs="Arial"/>
          <w:b/>
          <w:i/>
          <w:noProof/>
          <w:color w:val="FF0000"/>
          <w:shd w:val="clear" w:color="auto" w:fill="FFFFFF"/>
        </w:rPr>
        <w:drawing>
          <wp:anchor distT="0" distB="0" distL="114300" distR="114300" simplePos="0" relativeHeight="251670528" behindDoc="0" locked="0" layoutInCell="1" allowOverlap="1" wp14:anchorId="7EB0B12B" wp14:editId="549EE568">
            <wp:simplePos x="0" y="0"/>
            <wp:positionH relativeFrom="column">
              <wp:posOffset>6020993</wp:posOffset>
            </wp:positionH>
            <wp:positionV relativeFrom="paragraph">
              <wp:posOffset>173409</wp:posOffset>
            </wp:positionV>
            <wp:extent cx="281305" cy="245110"/>
            <wp:effectExtent l="0" t="0" r="4445" b="2540"/>
            <wp:wrapNone/>
            <wp:docPr id="12"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00985597" w:rsidRPr="00A656B0">
        <w:rPr>
          <w:rFonts w:cs="Arial"/>
          <w:b/>
          <w:i/>
          <w:noProof/>
          <w:color w:val="FF0000"/>
          <w:shd w:val="clear" w:color="auto" w:fill="FFFFFF"/>
        </w:rPr>
        <w:drawing>
          <wp:anchor distT="0" distB="0" distL="114300" distR="114300" simplePos="0" relativeHeight="251668480" behindDoc="0" locked="0" layoutInCell="1" allowOverlap="1" wp14:anchorId="40D15092" wp14:editId="37B42829">
            <wp:simplePos x="0" y="0"/>
            <wp:positionH relativeFrom="column">
              <wp:posOffset>27323</wp:posOffset>
            </wp:positionH>
            <wp:positionV relativeFrom="paragraph">
              <wp:posOffset>185657</wp:posOffset>
            </wp:positionV>
            <wp:extent cx="281305" cy="245110"/>
            <wp:effectExtent l="0" t="0" r="4445" b="2540"/>
            <wp:wrapNone/>
            <wp:docPr id="10"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0081241F" w:rsidRPr="00F2051C">
        <w:rPr>
          <w:b/>
          <w:color w:val="FF0000"/>
        </w:rPr>
        <w:t xml:space="preserve">Should crystals form in a </w:t>
      </w:r>
      <w:proofErr w:type="spellStart"/>
      <w:r w:rsidR="0081241F" w:rsidRPr="00F2051C">
        <w:rPr>
          <w:b/>
          <w:color w:val="FF0000"/>
        </w:rPr>
        <w:t>peroxidizable</w:t>
      </w:r>
      <w:proofErr w:type="spellEnd"/>
      <w:r w:rsidR="0081241F" w:rsidRPr="00F2051C">
        <w:rPr>
          <w:b/>
          <w:color w:val="FF0000"/>
        </w:rPr>
        <w:t xml:space="preserve"> liquid, peroxidation may have occurred and the product should be considered extremely dangerous. In this instance, the container should only be opened </w:t>
      </w:r>
      <w:r w:rsidR="0081241F" w:rsidRPr="00F2051C">
        <w:rPr>
          <w:b/>
          <w:color w:val="FF0000"/>
        </w:rPr>
        <w:lastRenderedPageBreak/>
        <w:t>remotely by professionals.</w:t>
      </w:r>
      <w:r w:rsidR="0081241F" w:rsidRPr="00F2051C">
        <w:rPr>
          <w:color w:val="FF0000"/>
        </w:rPr>
        <w:t xml:space="preserve"> </w:t>
      </w:r>
      <w:r w:rsidR="0081241F" w:rsidRPr="005D4117">
        <w:rPr>
          <w:color w:val="000000"/>
        </w:rPr>
        <w:t xml:space="preserve">All </w:t>
      </w:r>
      <w:proofErr w:type="spellStart"/>
      <w:r w:rsidR="0081241F" w:rsidRPr="005D4117">
        <w:rPr>
          <w:color w:val="000000"/>
        </w:rPr>
        <w:t>peroxidizable</w:t>
      </w:r>
      <w:proofErr w:type="spellEnd"/>
      <w:r w:rsidR="0081241F" w:rsidRPr="005D4117">
        <w:rPr>
          <w:color w:val="000000"/>
        </w:rPr>
        <w:t xml:space="preserve"> substances should be stored away from heat and light and be protected from ignition sources.</w:t>
      </w:r>
    </w:p>
    <w:p w14:paraId="695A3062" w14:textId="21DD0681" w:rsidR="00EA2321" w:rsidRDefault="00EA2321" w:rsidP="0081241F"/>
    <w:bookmarkStart w:id="7" w:name="_Toc480376103"/>
    <w:p w14:paraId="36BBB379" w14:textId="4DCFC2D1" w:rsidR="00EA2321" w:rsidRPr="008D6315" w:rsidRDefault="008572A7" w:rsidP="00E858A1">
      <w:pPr>
        <w:pStyle w:val="Heading1"/>
        <w:rPr>
          <w:sz w:val="22"/>
        </w:rPr>
      </w:pPr>
      <w:sdt>
        <w:sdtPr>
          <w:id w:val="1826850669"/>
          <w:lock w:val="contentLocked"/>
          <w:placeholder>
            <w:docPart w:val="DefaultPlaceholder_-1854013440"/>
          </w:placeholder>
          <w:group/>
        </w:sdtPr>
        <w:sdtEndPr/>
        <w:sdtContent>
          <w:r w:rsidR="00EA2321" w:rsidRPr="0072071F">
            <w:t>Waste Disposal</w:t>
          </w:r>
          <w:bookmarkEnd w:id="7"/>
        </w:sdtContent>
      </w:sdt>
      <w:r w:rsidR="008D6315">
        <w:t xml:space="preserve"> </w:t>
      </w:r>
      <w:r w:rsidR="008D6315" w:rsidRPr="00AA4C07">
        <w:rPr>
          <w:sz w:val="22"/>
        </w:rPr>
        <w:t>[Provide additional information as it pertains to your research protocol]</w:t>
      </w:r>
    </w:p>
    <w:p w14:paraId="14015775" w14:textId="5841B689" w:rsidR="00A90A53" w:rsidRPr="0079201A" w:rsidRDefault="00A90A53" w:rsidP="00A90A53">
      <w:pPr>
        <w:spacing w:after="60" w:line="240" w:lineRule="auto"/>
        <w:jc w:val="both"/>
        <w:rPr>
          <w:b/>
          <w:color w:val="FF0000"/>
        </w:rPr>
      </w:pPr>
      <w:r w:rsidRPr="00867510">
        <w:rPr>
          <w:b/>
          <w:color w:val="FF0000"/>
        </w:rPr>
        <w:t>Contact</w:t>
      </w:r>
      <w:r w:rsidRPr="0079201A">
        <w:rPr>
          <w:b/>
          <w:color w:val="FF0000"/>
        </w:rPr>
        <w:t xml:space="preserve"> </w:t>
      </w:r>
      <w:r w:rsidR="00FA1F16">
        <w:rPr>
          <w:rFonts w:eastAsia="Times New Roman" w:cs="Arial"/>
          <w:b/>
          <w:color w:val="FF0000"/>
        </w:rPr>
        <w:t>EHS</w:t>
      </w:r>
      <w:r>
        <w:rPr>
          <w:rFonts w:eastAsia="Times New Roman" w:cs="Arial"/>
          <w:b/>
          <w:color w:val="FF0000"/>
        </w:rPr>
        <w:t xml:space="preserve"> Hazardous Materials Management (</w:t>
      </w:r>
      <w:r w:rsidRPr="0079201A">
        <w:rPr>
          <w:rFonts w:eastAsia="Times New Roman" w:cs="Arial"/>
          <w:b/>
          <w:color w:val="FF0000"/>
        </w:rPr>
        <w:t>HMM</w:t>
      </w:r>
      <w:r>
        <w:rPr>
          <w:rFonts w:eastAsia="Times New Roman" w:cs="Arial"/>
          <w:b/>
          <w:color w:val="FF0000"/>
        </w:rPr>
        <w:t>)</w:t>
      </w:r>
      <w:r w:rsidRPr="0079201A">
        <w:rPr>
          <w:rFonts w:eastAsia="Times New Roman" w:cs="Arial"/>
          <w:b/>
          <w:color w:val="FF0000"/>
        </w:rPr>
        <w:t xml:space="preserve"> at </w:t>
      </w:r>
      <w:r>
        <w:rPr>
          <w:rFonts w:eastAsia="Times New Roman" w:cs="Arial"/>
          <w:b/>
          <w:color w:val="FF0000"/>
        </w:rPr>
        <w:t>(734) 76</w:t>
      </w:r>
      <w:r w:rsidRPr="0079201A">
        <w:rPr>
          <w:rFonts w:eastAsia="Times New Roman" w:cs="Arial"/>
          <w:b/>
          <w:color w:val="FF0000"/>
        </w:rPr>
        <w:t xml:space="preserve">3-4568 </w:t>
      </w:r>
      <w:r w:rsidRPr="0079201A">
        <w:rPr>
          <w:b/>
          <w:color w:val="FF0000"/>
        </w:rPr>
        <w:t>immediately to arrange for pick-up and disposal if</w:t>
      </w:r>
      <w:r>
        <w:rPr>
          <w:b/>
          <w:color w:val="FF0000"/>
        </w:rPr>
        <w:t xml:space="preserve"> one of the following scenarios are noted</w:t>
      </w:r>
      <w:r w:rsidR="003A281C">
        <w:rPr>
          <w:b/>
          <w:color w:val="FF0000"/>
        </w:rPr>
        <w:t>:</w:t>
      </w:r>
    </w:p>
    <w:p w14:paraId="10C1A41F" w14:textId="755A6A40" w:rsidR="00A90A53" w:rsidRPr="0076128E" w:rsidRDefault="00A90A53" w:rsidP="000431DE">
      <w:pPr>
        <w:pStyle w:val="ListParagraph"/>
        <w:numPr>
          <w:ilvl w:val="0"/>
          <w:numId w:val="22"/>
        </w:numPr>
      </w:pPr>
      <w:r>
        <w:t>C</w:t>
      </w:r>
      <w:r w:rsidRPr="0076128E">
        <w:t>rystals are found around the lid of a THF container</w:t>
      </w:r>
      <w:r w:rsidR="003A281C">
        <w:t xml:space="preserve">. </w:t>
      </w:r>
      <w:r w:rsidRPr="00A90A53">
        <w:rPr>
          <w:b/>
          <w:color w:val="FF0000"/>
        </w:rPr>
        <w:t>Do NOT attempt to open the container!</w:t>
      </w:r>
    </w:p>
    <w:p w14:paraId="6FC1F281" w14:textId="76CE8DA8" w:rsidR="00A90A53" w:rsidRPr="0076128E" w:rsidRDefault="00A90A53" w:rsidP="000431DE">
      <w:pPr>
        <w:pStyle w:val="ListParagraph"/>
        <w:numPr>
          <w:ilvl w:val="0"/>
          <w:numId w:val="22"/>
        </w:numPr>
      </w:pPr>
      <w:r>
        <w:t>T</w:t>
      </w:r>
      <w:r w:rsidRPr="0076128E">
        <w:t>he container tests positive for peroxides.</w:t>
      </w:r>
    </w:p>
    <w:p w14:paraId="59E0F203" w14:textId="117621B1" w:rsidR="00EA2321" w:rsidRDefault="00EA2321" w:rsidP="00E858A1">
      <w:r w:rsidRPr="0072071F">
        <w:t>Because most spent, unused, and expired chemicals/materials are considered hazardous wastes, they</w:t>
      </w:r>
      <w:r w:rsidR="003A281C">
        <w:t xml:space="preserve"> </w:t>
      </w:r>
      <w:r w:rsidR="003A281C" w:rsidRPr="00625F25">
        <w:rPr>
          <w:b/>
        </w:rPr>
        <w:t>must</w:t>
      </w:r>
      <w:r w:rsidR="003A281C">
        <w:t xml:space="preserve"> be properly disposed of. </w:t>
      </w:r>
      <w:r w:rsidRPr="00434449">
        <w:rPr>
          <w:rStyle w:val="Strong"/>
        </w:rPr>
        <w:t>Do not dispose of chemical wastes by dumping them down a sink, flushing in a toilet or discarding in regular trash containers, unless authorized by EHS Hazardous Materials Management (HMM)</w:t>
      </w:r>
      <w:r w:rsidR="003A281C">
        <w:t>.</w:t>
      </w:r>
      <w:r w:rsidRPr="0072071F">
        <w:t xml:space="preserve"> Contact EHS-HMM at (734) 763-4568 for waste containers, labels, manifests, waste collection and for any questions re</w:t>
      </w:r>
      <w:r w:rsidR="003A281C">
        <w:t xml:space="preserve">garding proper waste disposal. </w:t>
      </w:r>
      <w:r w:rsidRPr="0072071F">
        <w:t>Also</w:t>
      </w:r>
      <w:r w:rsidR="00A90A53">
        <w:t>,</w:t>
      </w:r>
      <w:r w:rsidRPr="0072071F">
        <w:t xml:space="preserve"> refer to</w:t>
      </w:r>
      <w:r w:rsidR="00FD5F6C">
        <w:t xml:space="preserve"> the</w:t>
      </w:r>
      <w:r w:rsidRPr="0072071F">
        <w:t xml:space="preserve"> EHS </w:t>
      </w:r>
      <w:hyperlink r:id="rId15" w:history="1">
        <w:r w:rsidR="00FD5F6C">
          <w:rPr>
            <w:rStyle w:val="Hyperlink"/>
          </w:rPr>
          <w:t>Hazardous Waste</w:t>
        </w:r>
      </w:hyperlink>
      <w:r w:rsidRPr="0072071F">
        <w:t xml:space="preserve"> </w:t>
      </w:r>
      <w:r w:rsidR="00FD5F6C">
        <w:t xml:space="preserve">Web page </w:t>
      </w:r>
      <w:r w:rsidRPr="0072071F">
        <w:t>for more information.</w:t>
      </w:r>
      <w:bookmarkStart w:id="8" w:name="_Toc480376104"/>
    </w:p>
    <w:p w14:paraId="79C07120" w14:textId="77777777" w:rsidR="00E01966" w:rsidRDefault="00E01966" w:rsidP="00E858A1">
      <w:pPr>
        <w:pStyle w:val="Heading1"/>
      </w:pPr>
      <w:bookmarkStart w:id="9" w:name="_Toc480376107"/>
      <w:bookmarkEnd w:id="8"/>
    </w:p>
    <w:sdt>
      <w:sdtPr>
        <w:id w:val="579029453"/>
        <w:lock w:val="contentLocked"/>
        <w:placeholder>
          <w:docPart w:val="CC23342D8CEA434885CBE2ED8570C9FC"/>
        </w:placeholder>
        <w:group/>
      </w:sdtPr>
      <w:sdtEndPr/>
      <w:sdtContent>
        <w:p w14:paraId="66EFA8AB" w14:textId="326C247C" w:rsidR="00EA2321" w:rsidRPr="0072071F" w:rsidRDefault="00EA2321" w:rsidP="00E858A1">
          <w:pPr>
            <w:pStyle w:val="Heading1"/>
          </w:pPr>
          <w:r w:rsidRPr="0072071F">
            <w:t>Training of Personnel</w:t>
          </w:r>
        </w:p>
        <w:bookmarkEnd w:id="9" w:displacedByCustomXml="next"/>
      </w:sdtContent>
    </w:sdt>
    <w:p w14:paraId="13268962" w14:textId="116F6C60" w:rsidR="00EA2321" w:rsidRPr="000B333E" w:rsidRDefault="00342E7C" w:rsidP="000B333E">
      <w:pPr>
        <w:spacing w:after="0" w:line="240" w:lineRule="auto"/>
        <w:jc w:val="both"/>
        <w:rPr>
          <w:rFonts w:eastAsia="Calibri" w:cs="Times New Roman"/>
        </w:rPr>
      </w:pPr>
      <w:r>
        <w:rPr>
          <w:rFonts w:eastAsia="Calibri" w:cs="Times New Roman"/>
        </w:rPr>
        <w:t>A</w:t>
      </w:r>
      <w:r w:rsidR="000B333E" w:rsidRPr="00FB4C3D">
        <w:rPr>
          <w:rFonts w:eastAsia="Calibri" w:cs="Times New Roman"/>
        </w:rPr>
        <w:t xml:space="preserve">ll personnel shall read and fully adhere to this SOP when handling </w:t>
      </w:r>
      <w:r w:rsidR="000B333E">
        <w:rPr>
          <w:rFonts w:eastAsia="Calibri" w:cs="Times New Roman"/>
        </w:rPr>
        <w:t>THF</w:t>
      </w:r>
      <w:r w:rsidR="000B333E" w:rsidRPr="00FB4C3D">
        <w:rPr>
          <w:rFonts w:eastAsia="Calibri" w:cs="Times New Roman"/>
        </w:rPr>
        <w:t>.</w:t>
      </w:r>
      <w:r w:rsidR="00EA2321">
        <w:br w:type="page"/>
      </w:r>
    </w:p>
    <w:bookmarkStart w:id="10" w:name="_Toc480376108" w:displacedByCustomXml="next"/>
    <w:sdt>
      <w:sdtPr>
        <w:id w:val="-2046284751"/>
        <w:lock w:val="contentLocked"/>
        <w:placeholder>
          <w:docPart w:val="CC23342D8CEA434885CBE2ED8570C9FC"/>
        </w:placeholder>
        <w:group/>
      </w:sdtPr>
      <w:sdtEndPr/>
      <w:sdtContent>
        <w:p w14:paraId="4871363D" w14:textId="77777777" w:rsidR="00EA2321" w:rsidRPr="0072071F" w:rsidRDefault="00EA2321" w:rsidP="00E858A1">
          <w:pPr>
            <w:pStyle w:val="Heading1"/>
          </w:pPr>
          <w:r w:rsidRPr="0072071F">
            <w:t>Certification</w:t>
          </w:r>
        </w:p>
        <w:bookmarkEnd w:id="10" w:displacedByCustomXml="next"/>
      </w:sdtContent>
    </w:sdt>
    <w:p w14:paraId="3A3AA07F" w14:textId="575109A3" w:rsidR="00EA2321" w:rsidRPr="0072071F" w:rsidRDefault="00EA2321" w:rsidP="00E858A1">
      <w:r w:rsidRPr="0072071F">
        <w:t>I have rea</w:t>
      </w:r>
      <w:r w:rsidR="003A281C">
        <w:t>d and understand the above SOP.</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E6C7948"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762BF5E9" w14:textId="77777777" w:rsidR="00EA2321" w:rsidRPr="00EA2321" w:rsidRDefault="00EA2321" w:rsidP="00EA2321">
            <w:r w:rsidRPr="0072071F">
              <w:t>Name</w:t>
            </w:r>
          </w:p>
        </w:tc>
        <w:tc>
          <w:tcPr>
            <w:tcW w:w="2340" w:type="dxa"/>
          </w:tcPr>
          <w:p w14:paraId="0F85DA51" w14:textId="77777777" w:rsidR="00EA2321" w:rsidRPr="00EA2321" w:rsidRDefault="00EA2321" w:rsidP="00EA2321">
            <w:r w:rsidRPr="0072071F">
              <w:t>Signature</w:t>
            </w:r>
          </w:p>
        </w:tc>
        <w:tc>
          <w:tcPr>
            <w:tcW w:w="2340" w:type="dxa"/>
          </w:tcPr>
          <w:p w14:paraId="1D1513D8" w14:textId="77777777" w:rsidR="00EA2321" w:rsidRPr="00EA2321" w:rsidRDefault="00EA2321" w:rsidP="00EA2321">
            <w:r w:rsidRPr="0072071F">
              <w:t>UMID #</w:t>
            </w:r>
          </w:p>
        </w:tc>
        <w:tc>
          <w:tcPr>
            <w:tcW w:w="2340" w:type="dxa"/>
          </w:tcPr>
          <w:p w14:paraId="4CA704B5" w14:textId="77777777" w:rsidR="00EA2321" w:rsidRPr="00EA2321" w:rsidRDefault="00EA2321" w:rsidP="00EA2321">
            <w:r w:rsidRPr="0072071F">
              <w:t>Date</w:t>
            </w:r>
          </w:p>
        </w:tc>
      </w:tr>
      <w:tr w:rsidR="00EA2321" w:rsidRPr="0072071F" w14:paraId="7BD9D020" w14:textId="77777777" w:rsidTr="00E858A1">
        <w:trPr>
          <w:trHeight w:val="503"/>
        </w:trPr>
        <w:tc>
          <w:tcPr>
            <w:tcW w:w="2340" w:type="dxa"/>
          </w:tcPr>
          <w:p w14:paraId="62759DB7" w14:textId="77777777" w:rsidR="00EA2321" w:rsidRPr="0072071F" w:rsidRDefault="00EA2321" w:rsidP="00EA2321"/>
        </w:tc>
        <w:tc>
          <w:tcPr>
            <w:tcW w:w="2340" w:type="dxa"/>
          </w:tcPr>
          <w:p w14:paraId="55305829" w14:textId="77777777" w:rsidR="00EA2321" w:rsidRPr="0072071F" w:rsidRDefault="00EA2321" w:rsidP="00EA2321"/>
        </w:tc>
        <w:tc>
          <w:tcPr>
            <w:tcW w:w="2340" w:type="dxa"/>
          </w:tcPr>
          <w:p w14:paraId="3AB2FF33" w14:textId="77777777" w:rsidR="00EA2321" w:rsidRPr="0072071F" w:rsidRDefault="00EA2321" w:rsidP="00EA2321"/>
        </w:tc>
        <w:tc>
          <w:tcPr>
            <w:tcW w:w="2340" w:type="dxa"/>
          </w:tcPr>
          <w:p w14:paraId="7FF52D5A" w14:textId="77777777" w:rsidR="00EA2321" w:rsidRPr="0072071F" w:rsidRDefault="00EA2321" w:rsidP="00EA2321"/>
        </w:tc>
      </w:tr>
      <w:tr w:rsidR="00EA2321" w:rsidRPr="0072071F" w14:paraId="7F822BF7" w14:textId="77777777" w:rsidTr="00E858A1">
        <w:trPr>
          <w:trHeight w:val="530"/>
        </w:trPr>
        <w:tc>
          <w:tcPr>
            <w:tcW w:w="2340" w:type="dxa"/>
          </w:tcPr>
          <w:p w14:paraId="6E125455" w14:textId="77777777" w:rsidR="00EA2321" w:rsidRPr="0072071F" w:rsidRDefault="00EA2321" w:rsidP="00EA2321"/>
        </w:tc>
        <w:tc>
          <w:tcPr>
            <w:tcW w:w="2340" w:type="dxa"/>
          </w:tcPr>
          <w:p w14:paraId="503A32B2" w14:textId="77777777" w:rsidR="00EA2321" w:rsidRPr="0072071F" w:rsidRDefault="00EA2321" w:rsidP="00EA2321"/>
        </w:tc>
        <w:tc>
          <w:tcPr>
            <w:tcW w:w="2340" w:type="dxa"/>
          </w:tcPr>
          <w:p w14:paraId="63B7AD34" w14:textId="77777777" w:rsidR="00EA2321" w:rsidRPr="0072071F" w:rsidRDefault="00EA2321" w:rsidP="00EA2321"/>
        </w:tc>
        <w:tc>
          <w:tcPr>
            <w:tcW w:w="2340" w:type="dxa"/>
          </w:tcPr>
          <w:p w14:paraId="187C9C3A" w14:textId="77777777" w:rsidR="00EA2321" w:rsidRPr="0072071F" w:rsidRDefault="00EA2321" w:rsidP="00EA2321"/>
        </w:tc>
      </w:tr>
      <w:tr w:rsidR="00EA2321" w:rsidRPr="0072071F" w14:paraId="3A47BE5F" w14:textId="77777777" w:rsidTr="00E858A1">
        <w:trPr>
          <w:trHeight w:val="530"/>
        </w:trPr>
        <w:tc>
          <w:tcPr>
            <w:tcW w:w="2340" w:type="dxa"/>
          </w:tcPr>
          <w:p w14:paraId="3FDDAD33" w14:textId="77777777" w:rsidR="00EA2321" w:rsidRPr="0072071F" w:rsidRDefault="00EA2321" w:rsidP="00EA2321"/>
        </w:tc>
        <w:tc>
          <w:tcPr>
            <w:tcW w:w="2340" w:type="dxa"/>
          </w:tcPr>
          <w:p w14:paraId="364A4AC8" w14:textId="77777777" w:rsidR="00EA2321" w:rsidRPr="0072071F" w:rsidRDefault="00EA2321" w:rsidP="00EA2321"/>
        </w:tc>
        <w:tc>
          <w:tcPr>
            <w:tcW w:w="2340" w:type="dxa"/>
          </w:tcPr>
          <w:p w14:paraId="5B23988C" w14:textId="77777777" w:rsidR="00EA2321" w:rsidRPr="0072071F" w:rsidRDefault="00EA2321" w:rsidP="00EA2321"/>
        </w:tc>
        <w:tc>
          <w:tcPr>
            <w:tcW w:w="2340" w:type="dxa"/>
          </w:tcPr>
          <w:p w14:paraId="7FA00E0B" w14:textId="77777777" w:rsidR="00EA2321" w:rsidRPr="0072071F" w:rsidRDefault="00EA2321" w:rsidP="00EA2321"/>
        </w:tc>
      </w:tr>
      <w:tr w:rsidR="00EA2321" w:rsidRPr="0072071F" w14:paraId="6DC9EC28" w14:textId="77777777" w:rsidTr="00E858A1">
        <w:trPr>
          <w:trHeight w:val="530"/>
        </w:trPr>
        <w:tc>
          <w:tcPr>
            <w:tcW w:w="2340" w:type="dxa"/>
          </w:tcPr>
          <w:p w14:paraId="6D5F1E72" w14:textId="77777777" w:rsidR="00EA2321" w:rsidRPr="0072071F" w:rsidRDefault="00EA2321" w:rsidP="00EA2321"/>
        </w:tc>
        <w:tc>
          <w:tcPr>
            <w:tcW w:w="2340" w:type="dxa"/>
          </w:tcPr>
          <w:p w14:paraId="751FF6BE" w14:textId="77777777" w:rsidR="00EA2321" w:rsidRPr="0072071F" w:rsidRDefault="00EA2321" w:rsidP="00EA2321"/>
        </w:tc>
        <w:tc>
          <w:tcPr>
            <w:tcW w:w="2340" w:type="dxa"/>
          </w:tcPr>
          <w:p w14:paraId="6649D6A0" w14:textId="77777777" w:rsidR="00EA2321" w:rsidRPr="0072071F" w:rsidRDefault="00EA2321" w:rsidP="00EA2321"/>
        </w:tc>
        <w:tc>
          <w:tcPr>
            <w:tcW w:w="2340" w:type="dxa"/>
          </w:tcPr>
          <w:p w14:paraId="39BB9EDA" w14:textId="77777777" w:rsidR="00EA2321" w:rsidRPr="0072071F" w:rsidRDefault="00EA2321" w:rsidP="00EA2321"/>
        </w:tc>
      </w:tr>
      <w:tr w:rsidR="00EA2321" w:rsidRPr="0072071F" w14:paraId="0293CE08" w14:textId="77777777" w:rsidTr="00E858A1">
        <w:trPr>
          <w:trHeight w:val="530"/>
        </w:trPr>
        <w:tc>
          <w:tcPr>
            <w:tcW w:w="2340" w:type="dxa"/>
          </w:tcPr>
          <w:p w14:paraId="7675A800" w14:textId="77777777" w:rsidR="00EA2321" w:rsidRPr="0072071F" w:rsidRDefault="00EA2321" w:rsidP="00EA2321"/>
        </w:tc>
        <w:tc>
          <w:tcPr>
            <w:tcW w:w="2340" w:type="dxa"/>
          </w:tcPr>
          <w:p w14:paraId="1ABAF061" w14:textId="77777777" w:rsidR="00EA2321" w:rsidRPr="0072071F" w:rsidRDefault="00EA2321" w:rsidP="00EA2321"/>
        </w:tc>
        <w:tc>
          <w:tcPr>
            <w:tcW w:w="2340" w:type="dxa"/>
          </w:tcPr>
          <w:p w14:paraId="10A46DC4" w14:textId="77777777" w:rsidR="00EA2321" w:rsidRPr="0072071F" w:rsidRDefault="00EA2321" w:rsidP="00EA2321"/>
        </w:tc>
        <w:tc>
          <w:tcPr>
            <w:tcW w:w="2340" w:type="dxa"/>
          </w:tcPr>
          <w:p w14:paraId="0F13B858" w14:textId="77777777" w:rsidR="00EA2321" w:rsidRPr="0072071F" w:rsidRDefault="00EA2321" w:rsidP="00EA2321"/>
        </w:tc>
      </w:tr>
      <w:tr w:rsidR="00EA2321" w:rsidRPr="0072071F" w14:paraId="78C602C5" w14:textId="77777777" w:rsidTr="00E858A1">
        <w:trPr>
          <w:trHeight w:val="530"/>
        </w:trPr>
        <w:tc>
          <w:tcPr>
            <w:tcW w:w="2340" w:type="dxa"/>
          </w:tcPr>
          <w:p w14:paraId="7B53B603" w14:textId="77777777" w:rsidR="00EA2321" w:rsidRPr="0072071F" w:rsidRDefault="00EA2321" w:rsidP="00EA2321"/>
        </w:tc>
        <w:tc>
          <w:tcPr>
            <w:tcW w:w="2340" w:type="dxa"/>
          </w:tcPr>
          <w:p w14:paraId="557A7844" w14:textId="77777777" w:rsidR="00EA2321" w:rsidRPr="0072071F" w:rsidRDefault="00EA2321" w:rsidP="00EA2321"/>
        </w:tc>
        <w:tc>
          <w:tcPr>
            <w:tcW w:w="2340" w:type="dxa"/>
          </w:tcPr>
          <w:p w14:paraId="5664BE1D" w14:textId="77777777" w:rsidR="00EA2321" w:rsidRPr="0072071F" w:rsidRDefault="00EA2321" w:rsidP="00EA2321"/>
        </w:tc>
        <w:tc>
          <w:tcPr>
            <w:tcW w:w="2340" w:type="dxa"/>
          </w:tcPr>
          <w:p w14:paraId="71DE5093" w14:textId="77777777" w:rsidR="00EA2321" w:rsidRPr="0072071F" w:rsidRDefault="00EA2321" w:rsidP="00EA2321"/>
        </w:tc>
      </w:tr>
      <w:tr w:rsidR="00EA2321" w:rsidRPr="0072071F" w14:paraId="77502314" w14:textId="77777777" w:rsidTr="00E858A1">
        <w:trPr>
          <w:trHeight w:val="530"/>
        </w:trPr>
        <w:tc>
          <w:tcPr>
            <w:tcW w:w="2340" w:type="dxa"/>
          </w:tcPr>
          <w:p w14:paraId="5F654B02" w14:textId="77777777" w:rsidR="00EA2321" w:rsidRPr="0072071F" w:rsidRDefault="00EA2321" w:rsidP="00EA2321"/>
        </w:tc>
        <w:tc>
          <w:tcPr>
            <w:tcW w:w="2340" w:type="dxa"/>
          </w:tcPr>
          <w:p w14:paraId="4BFB66EA" w14:textId="77777777" w:rsidR="00EA2321" w:rsidRPr="0072071F" w:rsidRDefault="00EA2321" w:rsidP="00EA2321"/>
        </w:tc>
        <w:tc>
          <w:tcPr>
            <w:tcW w:w="2340" w:type="dxa"/>
          </w:tcPr>
          <w:p w14:paraId="06A7FB06" w14:textId="77777777" w:rsidR="00EA2321" w:rsidRPr="0072071F" w:rsidRDefault="00EA2321" w:rsidP="00EA2321"/>
        </w:tc>
        <w:tc>
          <w:tcPr>
            <w:tcW w:w="2340" w:type="dxa"/>
          </w:tcPr>
          <w:p w14:paraId="7555CAC0" w14:textId="77777777" w:rsidR="00EA2321" w:rsidRPr="0072071F" w:rsidRDefault="00EA2321" w:rsidP="00EA2321"/>
        </w:tc>
      </w:tr>
      <w:tr w:rsidR="00EA2321" w:rsidRPr="0072071F" w14:paraId="7A5723EA" w14:textId="77777777" w:rsidTr="00E858A1">
        <w:trPr>
          <w:trHeight w:val="530"/>
        </w:trPr>
        <w:tc>
          <w:tcPr>
            <w:tcW w:w="2340" w:type="dxa"/>
          </w:tcPr>
          <w:p w14:paraId="585EB5DE" w14:textId="77777777" w:rsidR="00EA2321" w:rsidRPr="0072071F" w:rsidRDefault="00EA2321" w:rsidP="00EA2321"/>
        </w:tc>
        <w:tc>
          <w:tcPr>
            <w:tcW w:w="2340" w:type="dxa"/>
          </w:tcPr>
          <w:p w14:paraId="4473EC60" w14:textId="77777777" w:rsidR="00EA2321" w:rsidRPr="0072071F" w:rsidRDefault="00EA2321" w:rsidP="00EA2321"/>
        </w:tc>
        <w:tc>
          <w:tcPr>
            <w:tcW w:w="2340" w:type="dxa"/>
          </w:tcPr>
          <w:p w14:paraId="2E3FF9D7" w14:textId="77777777" w:rsidR="00EA2321" w:rsidRPr="0072071F" w:rsidRDefault="00EA2321" w:rsidP="00EA2321"/>
        </w:tc>
        <w:tc>
          <w:tcPr>
            <w:tcW w:w="2340" w:type="dxa"/>
          </w:tcPr>
          <w:p w14:paraId="67607436" w14:textId="77777777" w:rsidR="00EA2321" w:rsidRPr="0072071F" w:rsidRDefault="00EA2321" w:rsidP="00EA2321"/>
        </w:tc>
      </w:tr>
      <w:tr w:rsidR="00EA2321" w:rsidRPr="0072071F" w14:paraId="64EDE95B" w14:textId="77777777" w:rsidTr="00E858A1">
        <w:trPr>
          <w:trHeight w:val="530"/>
        </w:trPr>
        <w:tc>
          <w:tcPr>
            <w:tcW w:w="2340" w:type="dxa"/>
          </w:tcPr>
          <w:p w14:paraId="7C09C236" w14:textId="77777777" w:rsidR="00EA2321" w:rsidRPr="0072071F" w:rsidRDefault="00EA2321" w:rsidP="00EA2321"/>
        </w:tc>
        <w:tc>
          <w:tcPr>
            <w:tcW w:w="2340" w:type="dxa"/>
          </w:tcPr>
          <w:p w14:paraId="1D6C9BB6" w14:textId="77777777" w:rsidR="00EA2321" w:rsidRPr="0072071F" w:rsidRDefault="00EA2321" w:rsidP="00EA2321"/>
        </w:tc>
        <w:tc>
          <w:tcPr>
            <w:tcW w:w="2340" w:type="dxa"/>
          </w:tcPr>
          <w:p w14:paraId="6A9E65F6" w14:textId="77777777" w:rsidR="00EA2321" w:rsidRPr="0072071F" w:rsidRDefault="00EA2321" w:rsidP="00EA2321"/>
        </w:tc>
        <w:tc>
          <w:tcPr>
            <w:tcW w:w="2340" w:type="dxa"/>
          </w:tcPr>
          <w:p w14:paraId="59BA8E32" w14:textId="77777777" w:rsidR="00EA2321" w:rsidRPr="0072071F" w:rsidRDefault="00EA2321" w:rsidP="00EA2321"/>
        </w:tc>
      </w:tr>
      <w:tr w:rsidR="00EA2321" w:rsidRPr="0072071F" w14:paraId="0553D3BC" w14:textId="77777777" w:rsidTr="00E858A1">
        <w:trPr>
          <w:trHeight w:val="530"/>
        </w:trPr>
        <w:tc>
          <w:tcPr>
            <w:tcW w:w="2340" w:type="dxa"/>
          </w:tcPr>
          <w:p w14:paraId="161E360E" w14:textId="77777777" w:rsidR="00EA2321" w:rsidRPr="0072071F" w:rsidRDefault="00EA2321" w:rsidP="00EA2321"/>
        </w:tc>
        <w:tc>
          <w:tcPr>
            <w:tcW w:w="2340" w:type="dxa"/>
          </w:tcPr>
          <w:p w14:paraId="200C8371" w14:textId="77777777" w:rsidR="00EA2321" w:rsidRPr="0072071F" w:rsidRDefault="00EA2321" w:rsidP="00EA2321"/>
        </w:tc>
        <w:tc>
          <w:tcPr>
            <w:tcW w:w="2340" w:type="dxa"/>
          </w:tcPr>
          <w:p w14:paraId="1B1B3D0D" w14:textId="77777777" w:rsidR="00EA2321" w:rsidRPr="0072071F" w:rsidRDefault="00EA2321" w:rsidP="00EA2321"/>
        </w:tc>
        <w:tc>
          <w:tcPr>
            <w:tcW w:w="2340" w:type="dxa"/>
          </w:tcPr>
          <w:p w14:paraId="7F01DBA2" w14:textId="77777777" w:rsidR="00EA2321" w:rsidRPr="0072071F" w:rsidRDefault="00EA2321" w:rsidP="00EA2321"/>
        </w:tc>
      </w:tr>
      <w:tr w:rsidR="00EA2321" w:rsidRPr="0072071F" w14:paraId="00DA21A7" w14:textId="77777777" w:rsidTr="00E858A1">
        <w:trPr>
          <w:trHeight w:val="530"/>
        </w:trPr>
        <w:tc>
          <w:tcPr>
            <w:tcW w:w="2340" w:type="dxa"/>
          </w:tcPr>
          <w:p w14:paraId="7BEE8CC3" w14:textId="77777777" w:rsidR="00EA2321" w:rsidRPr="0072071F" w:rsidRDefault="00EA2321" w:rsidP="00EA2321"/>
        </w:tc>
        <w:tc>
          <w:tcPr>
            <w:tcW w:w="2340" w:type="dxa"/>
          </w:tcPr>
          <w:p w14:paraId="099B2142" w14:textId="77777777" w:rsidR="00EA2321" w:rsidRPr="0072071F" w:rsidRDefault="00EA2321" w:rsidP="00EA2321"/>
        </w:tc>
        <w:tc>
          <w:tcPr>
            <w:tcW w:w="2340" w:type="dxa"/>
          </w:tcPr>
          <w:p w14:paraId="1F57A3BD" w14:textId="77777777" w:rsidR="00EA2321" w:rsidRPr="0072071F" w:rsidRDefault="00EA2321" w:rsidP="00EA2321"/>
        </w:tc>
        <w:tc>
          <w:tcPr>
            <w:tcW w:w="2340" w:type="dxa"/>
          </w:tcPr>
          <w:p w14:paraId="00315D6F" w14:textId="77777777" w:rsidR="00EA2321" w:rsidRPr="0072071F" w:rsidRDefault="00EA2321" w:rsidP="00EA2321"/>
        </w:tc>
      </w:tr>
      <w:tr w:rsidR="00EA2321" w:rsidRPr="0072071F" w14:paraId="6A5EE2B9" w14:textId="77777777" w:rsidTr="00E858A1">
        <w:trPr>
          <w:trHeight w:val="530"/>
        </w:trPr>
        <w:tc>
          <w:tcPr>
            <w:tcW w:w="2340" w:type="dxa"/>
          </w:tcPr>
          <w:p w14:paraId="4B49AB3B" w14:textId="77777777" w:rsidR="00EA2321" w:rsidRPr="0072071F" w:rsidRDefault="00EA2321" w:rsidP="00EA2321"/>
        </w:tc>
        <w:tc>
          <w:tcPr>
            <w:tcW w:w="2340" w:type="dxa"/>
          </w:tcPr>
          <w:p w14:paraId="643ADB0C" w14:textId="77777777" w:rsidR="00EA2321" w:rsidRPr="0072071F" w:rsidRDefault="00EA2321" w:rsidP="00EA2321"/>
        </w:tc>
        <w:tc>
          <w:tcPr>
            <w:tcW w:w="2340" w:type="dxa"/>
          </w:tcPr>
          <w:p w14:paraId="40F24E00" w14:textId="77777777" w:rsidR="00EA2321" w:rsidRPr="0072071F" w:rsidRDefault="00EA2321" w:rsidP="00EA2321"/>
        </w:tc>
        <w:tc>
          <w:tcPr>
            <w:tcW w:w="2340" w:type="dxa"/>
          </w:tcPr>
          <w:p w14:paraId="2AA72C65" w14:textId="77777777" w:rsidR="00EA2321" w:rsidRPr="0072071F" w:rsidRDefault="00EA2321" w:rsidP="00EA2321"/>
        </w:tc>
      </w:tr>
      <w:tr w:rsidR="00EA2321" w:rsidRPr="0072071F" w14:paraId="3DFDDD23" w14:textId="77777777" w:rsidTr="00E858A1">
        <w:trPr>
          <w:trHeight w:val="530"/>
        </w:trPr>
        <w:tc>
          <w:tcPr>
            <w:tcW w:w="2340" w:type="dxa"/>
          </w:tcPr>
          <w:p w14:paraId="552CD0B6" w14:textId="77777777" w:rsidR="00EA2321" w:rsidRPr="0072071F" w:rsidRDefault="00EA2321" w:rsidP="00EA2321"/>
        </w:tc>
        <w:tc>
          <w:tcPr>
            <w:tcW w:w="2340" w:type="dxa"/>
          </w:tcPr>
          <w:p w14:paraId="334FB979" w14:textId="77777777" w:rsidR="00EA2321" w:rsidRPr="0072071F" w:rsidRDefault="00EA2321" w:rsidP="00EA2321"/>
        </w:tc>
        <w:tc>
          <w:tcPr>
            <w:tcW w:w="2340" w:type="dxa"/>
          </w:tcPr>
          <w:p w14:paraId="148B2B41" w14:textId="77777777" w:rsidR="00EA2321" w:rsidRPr="0072071F" w:rsidRDefault="00EA2321" w:rsidP="00EA2321"/>
        </w:tc>
        <w:tc>
          <w:tcPr>
            <w:tcW w:w="2340" w:type="dxa"/>
          </w:tcPr>
          <w:p w14:paraId="3A071D5A" w14:textId="77777777" w:rsidR="00EA2321" w:rsidRPr="0072071F" w:rsidRDefault="00EA2321" w:rsidP="00EA2321"/>
        </w:tc>
      </w:tr>
      <w:tr w:rsidR="00EA2321" w:rsidRPr="0072071F" w14:paraId="5CE225D4" w14:textId="77777777" w:rsidTr="00E858A1">
        <w:trPr>
          <w:trHeight w:val="530"/>
        </w:trPr>
        <w:tc>
          <w:tcPr>
            <w:tcW w:w="2340" w:type="dxa"/>
          </w:tcPr>
          <w:p w14:paraId="4F196094" w14:textId="77777777" w:rsidR="00EA2321" w:rsidRPr="0072071F" w:rsidRDefault="00EA2321" w:rsidP="00EA2321"/>
        </w:tc>
        <w:tc>
          <w:tcPr>
            <w:tcW w:w="2340" w:type="dxa"/>
          </w:tcPr>
          <w:p w14:paraId="1B9AF7F1" w14:textId="77777777" w:rsidR="00EA2321" w:rsidRPr="0072071F" w:rsidRDefault="00EA2321" w:rsidP="00EA2321"/>
        </w:tc>
        <w:tc>
          <w:tcPr>
            <w:tcW w:w="2340" w:type="dxa"/>
          </w:tcPr>
          <w:p w14:paraId="23269ACA" w14:textId="77777777" w:rsidR="00EA2321" w:rsidRPr="0072071F" w:rsidRDefault="00EA2321" w:rsidP="00EA2321"/>
        </w:tc>
        <w:tc>
          <w:tcPr>
            <w:tcW w:w="2340" w:type="dxa"/>
          </w:tcPr>
          <w:p w14:paraId="1B0D00BD" w14:textId="77777777" w:rsidR="00EA2321" w:rsidRPr="0072071F" w:rsidRDefault="00EA2321" w:rsidP="00EA2321"/>
        </w:tc>
      </w:tr>
      <w:tr w:rsidR="00EA2321" w:rsidRPr="0072071F" w14:paraId="06DFE4D6" w14:textId="77777777" w:rsidTr="00E858A1">
        <w:trPr>
          <w:trHeight w:val="530"/>
        </w:trPr>
        <w:tc>
          <w:tcPr>
            <w:tcW w:w="2340" w:type="dxa"/>
          </w:tcPr>
          <w:p w14:paraId="6AD227AE" w14:textId="77777777" w:rsidR="00EA2321" w:rsidRPr="0072071F" w:rsidRDefault="00EA2321" w:rsidP="00EA2321"/>
        </w:tc>
        <w:tc>
          <w:tcPr>
            <w:tcW w:w="2340" w:type="dxa"/>
          </w:tcPr>
          <w:p w14:paraId="1B492D1B" w14:textId="77777777" w:rsidR="00EA2321" w:rsidRPr="0072071F" w:rsidRDefault="00EA2321" w:rsidP="00EA2321"/>
        </w:tc>
        <w:tc>
          <w:tcPr>
            <w:tcW w:w="2340" w:type="dxa"/>
          </w:tcPr>
          <w:p w14:paraId="6154380D" w14:textId="77777777" w:rsidR="00EA2321" w:rsidRPr="0072071F" w:rsidRDefault="00EA2321" w:rsidP="00EA2321"/>
        </w:tc>
        <w:tc>
          <w:tcPr>
            <w:tcW w:w="2340" w:type="dxa"/>
          </w:tcPr>
          <w:p w14:paraId="76F7435B" w14:textId="77777777" w:rsidR="00EA2321" w:rsidRPr="0072071F" w:rsidRDefault="00EA2321" w:rsidP="00EA2321"/>
        </w:tc>
      </w:tr>
      <w:tr w:rsidR="00EA2321" w:rsidRPr="0072071F" w14:paraId="776ED107" w14:textId="77777777" w:rsidTr="00E858A1">
        <w:trPr>
          <w:trHeight w:val="530"/>
        </w:trPr>
        <w:tc>
          <w:tcPr>
            <w:tcW w:w="2340" w:type="dxa"/>
          </w:tcPr>
          <w:p w14:paraId="565A9313" w14:textId="77777777" w:rsidR="00EA2321" w:rsidRPr="0072071F" w:rsidRDefault="00EA2321" w:rsidP="00EA2321"/>
        </w:tc>
        <w:tc>
          <w:tcPr>
            <w:tcW w:w="2340" w:type="dxa"/>
          </w:tcPr>
          <w:p w14:paraId="6BC9159E" w14:textId="77777777" w:rsidR="00EA2321" w:rsidRPr="0072071F" w:rsidRDefault="00EA2321" w:rsidP="00EA2321"/>
        </w:tc>
        <w:tc>
          <w:tcPr>
            <w:tcW w:w="2340" w:type="dxa"/>
          </w:tcPr>
          <w:p w14:paraId="1C4F46D0" w14:textId="77777777" w:rsidR="00EA2321" w:rsidRPr="0072071F" w:rsidRDefault="00EA2321" w:rsidP="00EA2321"/>
        </w:tc>
        <w:tc>
          <w:tcPr>
            <w:tcW w:w="2340" w:type="dxa"/>
          </w:tcPr>
          <w:p w14:paraId="285C4925" w14:textId="77777777" w:rsidR="00EA2321" w:rsidRPr="0072071F" w:rsidRDefault="00EA2321" w:rsidP="00EA2321"/>
        </w:tc>
      </w:tr>
      <w:tr w:rsidR="00EA2321" w:rsidRPr="0072071F" w14:paraId="0AFC604A" w14:textId="77777777" w:rsidTr="00E858A1">
        <w:trPr>
          <w:trHeight w:val="530"/>
        </w:trPr>
        <w:tc>
          <w:tcPr>
            <w:tcW w:w="2340" w:type="dxa"/>
          </w:tcPr>
          <w:p w14:paraId="7155E969" w14:textId="77777777" w:rsidR="00EA2321" w:rsidRPr="0072071F" w:rsidRDefault="00EA2321" w:rsidP="00EA2321"/>
        </w:tc>
        <w:tc>
          <w:tcPr>
            <w:tcW w:w="2340" w:type="dxa"/>
          </w:tcPr>
          <w:p w14:paraId="07E84255" w14:textId="77777777" w:rsidR="00EA2321" w:rsidRPr="0072071F" w:rsidRDefault="00EA2321" w:rsidP="00EA2321"/>
        </w:tc>
        <w:tc>
          <w:tcPr>
            <w:tcW w:w="2340" w:type="dxa"/>
          </w:tcPr>
          <w:p w14:paraId="74455A9E" w14:textId="77777777" w:rsidR="00EA2321" w:rsidRPr="0072071F" w:rsidRDefault="00EA2321" w:rsidP="00EA2321"/>
        </w:tc>
        <w:tc>
          <w:tcPr>
            <w:tcW w:w="2340" w:type="dxa"/>
          </w:tcPr>
          <w:p w14:paraId="23B251E4" w14:textId="77777777" w:rsidR="00EA2321" w:rsidRPr="0072071F" w:rsidRDefault="00EA2321" w:rsidP="00EA2321"/>
        </w:tc>
      </w:tr>
    </w:tbl>
    <w:p w14:paraId="7CB15CE5" w14:textId="32D5732B" w:rsidR="00AE1474" w:rsidRDefault="00AE1474" w:rsidP="00AE1474">
      <w:pPr>
        <w:pStyle w:val="NoSpacing"/>
      </w:pPr>
    </w:p>
    <w:p w14:paraId="41B01276" w14:textId="77777777" w:rsidR="00834FF5" w:rsidRDefault="00834FF5" w:rsidP="00AE1474">
      <w:pPr>
        <w:pStyle w:val="NoSpacing"/>
      </w:pPr>
    </w:p>
    <w:tbl>
      <w:tblPr>
        <w:tblStyle w:val="Monochrome"/>
        <w:tblW w:w="0" w:type="auto"/>
        <w:tblLook w:val="0400" w:firstRow="0" w:lastRow="0" w:firstColumn="0" w:lastColumn="0" w:noHBand="0" w:noVBand="1"/>
      </w:tblPr>
      <w:tblGrid>
        <w:gridCol w:w="6030"/>
        <w:gridCol w:w="3330"/>
      </w:tblGrid>
      <w:tr w:rsidR="00EA2321" w14:paraId="21E0CDFC" w14:textId="77777777" w:rsidTr="00EA2321">
        <w:tc>
          <w:tcPr>
            <w:tcW w:w="6030" w:type="dxa"/>
            <w:tcBorders>
              <w:top w:val="single" w:sz="4" w:space="0" w:color="auto"/>
              <w:left w:val="nil"/>
              <w:bottom w:val="nil"/>
              <w:right w:val="nil"/>
            </w:tcBorders>
            <w:hideMark/>
          </w:tcPr>
          <w:p w14:paraId="3B45BAB2" w14:textId="26F01251" w:rsidR="00EA2321" w:rsidRPr="00EA2321" w:rsidRDefault="00834FF5" w:rsidP="00EA2321">
            <w:r>
              <w:t xml:space="preserve">Lab </w:t>
            </w:r>
            <w:r w:rsidR="00EA2321">
              <w:t>Director</w:t>
            </w:r>
          </w:p>
        </w:tc>
        <w:tc>
          <w:tcPr>
            <w:tcW w:w="3330" w:type="dxa"/>
            <w:tcBorders>
              <w:top w:val="single" w:sz="4" w:space="0" w:color="auto"/>
              <w:left w:val="nil"/>
              <w:bottom w:val="nil"/>
              <w:right w:val="nil"/>
            </w:tcBorders>
            <w:hideMark/>
          </w:tcPr>
          <w:p w14:paraId="7D182217" w14:textId="77777777" w:rsidR="00EA2321" w:rsidRPr="00EA2321" w:rsidRDefault="00EA2321" w:rsidP="00EA2321">
            <w:r>
              <w:t xml:space="preserve">Revision </w:t>
            </w:r>
            <w:r w:rsidRPr="00EA2321">
              <w:t>Date</w:t>
            </w:r>
          </w:p>
        </w:tc>
      </w:tr>
    </w:tbl>
    <w:p w14:paraId="484AF950" w14:textId="52ABCB01" w:rsidR="00EA2321" w:rsidRDefault="00EA2321" w:rsidP="00AB7AB4"/>
    <w:p w14:paraId="2397D8AE" w14:textId="77777777" w:rsidR="00834FF5" w:rsidRPr="00EA2321" w:rsidRDefault="00834FF5" w:rsidP="00AB7AB4"/>
    <w:p w14:paraId="4672252C" w14:textId="77777777" w:rsidR="003A281C" w:rsidRPr="0072071F" w:rsidRDefault="003A281C" w:rsidP="003A281C">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3A281C" w14:paraId="578AAA62" w14:textId="77777777" w:rsidTr="00897159">
        <w:trPr>
          <w:cnfStyle w:val="100000000000" w:firstRow="1" w:lastRow="0" w:firstColumn="0" w:lastColumn="0" w:oddVBand="0" w:evenVBand="0" w:oddHBand="0" w:evenHBand="0" w:firstRowFirstColumn="0" w:firstRowLastColumn="0" w:lastRowFirstColumn="0" w:lastRowLastColumn="0"/>
        </w:trPr>
        <w:tc>
          <w:tcPr>
            <w:tcW w:w="1440" w:type="dxa"/>
          </w:tcPr>
          <w:p w14:paraId="2408E0E1" w14:textId="77777777" w:rsidR="003A281C" w:rsidRDefault="003A281C" w:rsidP="00897159">
            <w:r>
              <w:t>Date</w:t>
            </w:r>
          </w:p>
        </w:tc>
        <w:tc>
          <w:tcPr>
            <w:tcW w:w="7910" w:type="dxa"/>
          </w:tcPr>
          <w:p w14:paraId="03A7CDB1" w14:textId="77777777" w:rsidR="003A281C" w:rsidRDefault="003A281C" w:rsidP="00897159">
            <w:r>
              <w:t>Revision</w:t>
            </w:r>
          </w:p>
        </w:tc>
      </w:tr>
      <w:tr w:rsidR="003A281C" w14:paraId="24301ADB" w14:textId="77777777" w:rsidTr="00897159">
        <w:tc>
          <w:tcPr>
            <w:tcW w:w="1440" w:type="dxa"/>
          </w:tcPr>
          <w:p w14:paraId="7DB75C72" w14:textId="357D401D" w:rsidR="003A281C" w:rsidRDefault="003A281C" w:rsidP="003A281C">
            <w:r>
              <w:t>03-26-18</w:t>
            </w:r>
          </w:p>
        </w:tc>
        <w:tc>
          <w:tcPr>
            <w:tcW w:w="7910" w:type="dxa"/>
          </w:tcPr>
          <w:p w14:paraId="7E62825D" w14:textId="618F6DDA" w:rsidR="003A281C" w:rsidRDefault="003A281C" w:rsidP="003A281C">
            <w:r>
              <w:t>Put into EHS format, changed department name, and fixed links.</w:t>
            </w:r>
            <w:r>
              <w:br/>
              <w:t>Revised Spill Procedure section (AKJ).</w:t>
            </w:r>
          </w:p>
        </w:tc>
      </w:tr>
      <w:tr w:rsidR="003A281C" w14:paraId="7781D678" w14:textId="77777777" w:rsidTr="00897159">
        <w:tc>
          <w:tcPr>
            <w:tcW w:w="1440" w:type="dxa"/>
          </w:tcPr>
          <w:p w14:paraId="6482FAC7" w14:textId="5EBB5B26" w:rsidR="003A281C" w:rsidRDefault="003A281C" w:rsidP="003A281C">
            <w:r>
              <w:t>04-09-18</w:t>
            </w:r>
          </w:p>
        </w:tc>
        <w:tc>
          <w:tcPr>
            <w:tcW w:w="7910" w:type="dxa"/>
          </w:tcPr>
          <w:p w14:paraId="0FDB9F7A" w14:textId="736EB8FC" w:rsidR="003A281C" w:rsidRDefault="003A281C" w:rsidP="003A281C">
            <w:r>
              <w:t>Revised formatting (AKJ).</w:t>
            </w:r>
          </w:p>
        </w:tc>
      </w:tr>
      <w:tr w:rsidR="003A281C" w14:paraId="1BC9E781" w14:textId="77777777" w:rsidTr="00897159">
        <w:tc>
          <w:tcPr>
            <w:tcW w:w="1440" w:type="dxa"/>
          </w:tcPr>
          <w:p w14:paraId="71A7B498" w14:textId="47ADFE36" w:rsidR="003A281C" w:rsidRDefault="003A281C" w:rsidP="003A281C">
            <w:r>
              <w:t>04-24-18</w:t>
            </w:r>
          </w:p>
        </w:tc>
        <w:tc>
          <w:tcPr>
            <w:tcW w:w="7910" w:type="dxa"/>
          </w:tcPr>
          <w:p w14:paraId="49C81491" w14:textId="5EF0C191" w:rsidR="003A281C" w:rsidRDefault="003A281C" w:rsidP="003A281C">
            <w:r>
              <w:t>Changed injury type and action from paragraph to table format (AKJ).</w:t>
            </w:r>
          </w:p>
        </w:tc>
      </w:tr>
      <w:tr w:rsidR="003A281C" w14:paraId="38C6EB62" w14:textId="77777777" w:rsidTr="00897159">
        <w:tc>
          <w:tcPr>
            <w:tcW w:w="1440" w:type="dxa"/>
          </w:tcPr>
          <w:p w14:paraId="18F052A5" w14:textId="751ABE38" w:rsidR="003A281C" w:rsidRDefault="003A281C" w:rsidP="003A281C">
            <w:r>
              <w:t>03-04-19</w:t>
            </w:r>
          </w:p>
        </w:tc>
        <w:tc>
          <w:tcPr>
            <w:tcW w:w="7910" w:type="dxa"/>
          </w:tcPr>
          <w:p w14:paraId="569F4FD8" w14:textId="5E0D66F7" w:rsidR="003A281C" w:rsidRDefault="003A281C" w:rsidP="003A281C">
            <w:r>
              <w:t>Updated links and format (DML).</w:t>
            </w:r>
          </w:p>
        </w:tc>
      </w:tr>
      <w:tr w:rsidR="003A281C" w14:paraId="6D221566" w14:textId="77777777" w:rsidTr="00897159">
        <w:tc>
          <w:tcPr>
            <w:tcW w:w="1440" w:type="dxa"/>
          </w:tcPr>
          <w:p w14:paraId="4B0DC0EA" w14:textId="77777777" w:rsidR="003A281C" w:rsidRDefault="003A281C" w:rsidP="00897159">
            <w:r>
              <w:t>05-15-20</w:t>
            </w:r>
          </w:p>
        </w:tc>
        <w:tc>
          <w:tcPr>
            <w:tcW w:w="7910" w:type="dxa"/>
          </w:tcPr>
          <w:p w14:paraId="69AEACA5" w14:textId="69B61816" w:rsidR="00554613" w:rsidRDefault="003A281C" w:rsidP="00897159">
            <w:r>
              <w:t>Updated editing rights to headings (RSH)</w:t>
            </w:r>
          </w:p>
        </w:tc>
      </w:tr>
      <w:tr w:rsidR="00554613" w14:paraId="7D266338" w14:textId="77777777" w:rsidTr="00897159">
        <w:tc>
          <w:tcPr>
            <w:tcW w:w="1440" w:type="dxa"/>
          </w:tcPr>
          <w:p w14:paraId="52EDF39E" w14:textId="4052837E" w:rsidR="00554613" w:rsidRDefault="00554613" w:rsidP="002E2AA3">
            <w:r>
              <w:t>0</w:t>
            </w:r>
            <w:r w:rsidR="002E2AA3">
              <w:t>4</w:t>
            </w:r>
            <w:r>
              <w:t>-22-22</w:t>
            </w:r>
          </w:p>
        </w:tc>
        <w:tc>
          <w:tcPr>
            <w:tcW w:w="7910" w:type="dxa"/>
          </w:tcPr>
          <w:p w14:paraId="0DA7E5C5" w14:textId="532491CF" w:rsidR="00554613" w:rsidRDefault="00554613" w:rsidP="00897159">
            <w:r>
              <w:t xml:space="preserve">Updated links, added peroxide testing frequency, </w:t>
            </w:r>
            <w:r w:rsidR="002E2AA3">
              <w:t>removed old SDS link, added references</w:t>
            </w:r>
            <w:r>
              <w:t>(RSH)</w:t>
            </w:r>
          </w:p>
        </w:tc>
      </w:tr>
    </w:tbl>
    <w:p w14:paraId="4A4EACE4" w14:textId="3C747A20" w:rsidR="00A01F91" w:rsidRDefault="00A01F91" w:rsidP="00441AC9">
      <w:pPr>
        <w:rPr>
          <w:rFonts w:ascii="Segoe UI" w:hAnsi="Segoe UI" w:cs="Segoe UI"/>
          <w:color w:val="212121"/>
        </w:rPr>
      </w:pPr>
    </w:p>
    <w:sdt>
      <w:sdtPr>
        <w:rPr>
          <w:rFonts w:eastAsiaTheme="minorEastAsia" w:cstheme="minorBidi"/>
          <w:b w:val="0"/>
          <w:bCs w:val="0"/>
          <w:kern w:val="0"/>
          <w:sz w:val="22"/>
          <w:szCs w:val="22"/>
        </w:rPr>
        <w:id w:val="1854224715"/>
        <w:docPartObj>
          <w:docPartGallery w:val="Bibliographies"/>
          <w:docPartUnique/>
        </w:docPartObj>
      </w:sdtPr>
      <w:sdtEndPr/>
      <w:sdtContent>
        <w:p w14:paraId="47F33D1A" w14:textId="61B527B4" w:rsidR="004A5BEF" w:rsidRDefault="004A5BEF">
          <w:pPr>
            <w:pStyle w:val="Heading1"/>
          </w:pPr>
          <w:r>
            <w:t>References</w:t>
          </w:r>
        </w:p>
        <w:sdt>
          <w:sdtPr>
            <w:id w:val="-573587230"/>
            <w:bibliography/>
          </w:sdtPr>
          <w:sdtEndPr/>
          <w:sdtContent>
            <w:p w14:paraId="17EA246E" w14:textId="77777777" w:rsidR="005F2645" w:rsidRDefault="004A5BEF" w:rsidP="005F2645">
              <w:pPr>
                <w:pStyle w:val="Bibliography"/>
                <w:ind w:left="720" w:hanging="720"/>
                <w:rPr>
                  <w:noProof/>
                  <w:sz w:val="24"/>
                  <w:szCs w:val="24"/>
                </w:rPr>
              </w:pPr>
              <w:r>
                <w:fldChar w:fldCharType="begin"/>
              </w:r>
              <w:r>
                <w:instrText xml:space="preserve"> BIBLIOGRAPHY </w:instrText>
              </w:r>
              <w:r>
                <w:fldChar w:fldCharType="separate"/>
              </w:r>
              <w:r w:rsidR="005F2645">
                <w:rPr>
                  <w:i/>
                  <w:iCs/>
                  <w:noProof/>
                </w:rPr>
                <w:t>NIOSH Pocket Guide to Chemcial Hazards</w:t>
              </w:r>
              <w:r w:rsidR="005F2645">
                <w:rPr>
                  <w:noProof/>
                </w:rPr>
                <w:t>. n.d. 22 April 2022. &lt;https://www.cdc.gov/niosh/npg/npgd0602.html&gt;.</w:t>
              </w:r>
            </w:p>
            <w:p w14:paraId="0C845EA4" w14:textId="77777777" w:rsidR="005F2645" w:rsidRDefault="005F2645" w:rsidP="005F2645">
              <w:pPr>
                <w:pStyle w:val="Bibliography"/>
                <w:ind w:left="720" w:hanging="720"/>
                <w:rPr>
                  <w:noProof/>
                </w:rPr>
              </w:pPr>
              <w:r>
                <w:rPr>
                  <w:noProof/>
                </w:rPr>
                <w:t>"Prudent Practices in the Laboratory: Handling and Disposal of Chemicals." Washington, DC: The National Academies Press, 1995. 402. &lt;https://nap.nationalacademies.org/read/4911/chapter/14#405&gt;.</w:t>
              </w:r>
            </w:p>
            <w:p w14:paraId="4D2F626A" w14:textId="77777777" w:rsidR="005F2645" w:rsidRDefault="005F2645" w:rsidP="005F2645">
              <w:pPr>
                <w:pStyle w:val="Bibliography"/>
                <w:ind w:left="720" w:hanging="720"/>
                <w:rPr>
                  <w:noProof/>
                </w:rPr>
              </w:pPr>
              <w:r>
                <w:rPr>
                  <w:i/>
                  <w:iCs/>
                  <w:noProof/>
                </w:rPr>
                <w:t>PubChem Compound Summary for CID 8028, Tetrahydrofuran</w:t>
              </w:r>
              <w:r>
                <w:rPr>
                  <w:noProof/>
                </w:rPr>
                <w:t>. n.d. 22 April 2022. &lt;https://pubchem.ncbi.nlm.nih.gov/compound/Tetrahydrofuran&gt;.</w:t>
              </w:r>
            </w:p>
            <w:p w14:paraId="5B7DE375" w14:textId="5A11F81E" w:rsidR="004A5BEF" w:rsidRPr="0072071F" w:rsidRDefault="004A5BEF" w:rsidP="005F2645">
              <w:r>
                <w:rPr>
                  <w:b/>
                  <w:bCs/>
                  <w:noProof/>
                </w:rPr>
                <w:fldChar w:fldCharType="end"/>
              </w:r>
            </w:p>
          </w:sdtContent>
        </w:sdt>
      </w:sdtContent>
    </w:sdt>
    <w:sectPr w:rsidR="004A5BEF" w:rsidRPr="0072071F" w:rsidSect="006901B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583C" w14:textId="77777777" w:rsidR="00AB78E7" w:rsidRPr="005D7C28" w:rsidRDefault="00AB78E7" w:rsidP="005D7C28">
      <w:r>
        <w:separator/>
      </w:r>
    </w:p>
    <w:p w14:paraId="14C4F39B" w14:textId="77777777" w:rsidR="00AB78E7" w:rsidRDefault="00AB78E7"/>
    <w:p w14:paraId="62C233E2" w14:textId="77777777" w:rsidR="00AB78E7" w:rsidRDefault="00AB78E7"/>
  </w:endnote>
  <w:endnote w:type="continuationSeparator" w:id="0">
    <w:p w14:paraId="64F26D00" w14:textId="77777777" w:rsidR="00AB78E7" w:rsidRPr="005D7C28" w:rsidRDefault="00AB78E7" w:rsidP="005D7C28">
      <w:r>
        <w:continuationSeparator/>
      </w:r>
    </w:p>
    <w:p w14:paraId="434C8918" w14:textId="77777777" w:rsidR="00AB78E7" w:rsidRDefault="00AB78E7"/>
    <w:p w14:paraId="6A342D5E" w14:textId="77777777" w:rsidR="00AB78E7" w:rsidRDefault="00AB7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565" w14:textId="77777777" w:rsidR="00856021" w:rsidRDefault="00856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2817C3E" w14:textId="0ABDA33D" w:rsidR="00BA049A" w:rsidRPr="005D7C28" w:rsidRDefault="00FC01F0" w:rsidP="00BA049A">
            <w:pPr>
              <w:pStyle w:val="Footer"/>
            </w:pPr>
            <w:r>
              <w:t>Tetrahydrofuran</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4B772D">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4B772D">
              <w:rPr>
                <w:rStyle w:val="Strong"/>
                <w:noProof/>
              </w:rPr>
              <w:t>6</w:t>
            </w:r>
            <w:r w:rsidR="00BA049A" w:rsidRPr="00EE222D">
              <w:rPr>
                <w:rStyle w:val="Strong"/>
              </w:rPr>
              <w:fldChar w:fldCharType="end"/>
            </w:r>
          </w:p>
        </w:sdtContent>
      </w:sdt>
    </w:sdtContent>
  </w:sdt>
  <w:p w14:paraId="7C884052" w14:textId="405F30AD"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B772D">
      <w:rPr>
        <w:noProof/>
      </w:rPr>
      <w:t>Revision Date:  08/17/22</w:t>
    </w:r>
    <w:r w:rsidRPr="00A41F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78D0260" w14:textId="23592096" w:rsidR="009E7C06" w:rsidRPr="005D7C28" w:rsidRDefault="00FC01F0" w:rsidP="005D7C28">
            <w:pPr>
              <w:pStyle w:val="Footer"/>
            </w:pPr>
            <w:r>
              <w:t>Tetrahydrofuran</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4B772D">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4B772D">
              <w:rPr>
                <w:rStyle w:val="Strong"/>
                <w:noProof/>
              </w:rPr>
              <w:t>6</w:t>
            </w:r>
            <w:r w:rsidR="009E7C06" w:rsidRPr="00EE222D">
              <w:rPr>
                <w:rStyle w:val="Strong"/>
              </w:rPr>
              <w:fldChar w:fldCharType="end"/>
            </w:r>
          </w:p>
        </w:sdtContent>
      </w:sdt>
    </w:sdtContent>
  </w:sdt>
  <w:p w14:paraId="27A10999" w14:textId="20FEA9B4"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B772D">
      <w:rPr>
        <w:noProof/>
      </w:rPr>
      <w:t>Revision Date:  08/17/22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1147B" w14:textId="77777777" w:rsidR="00AB78E7" w:rsidRPr="005D7C28" w:rsidRDefault="00AB78E7" w:rsidP="005D7C28">
      <w:r>
        <w:separator/>
      </w:r>
    </w:p>
    <w:p w14:paraId="108B7B24" w14:textId="77777777" w:rsidR="00AB78E7" w:rsidRDefault="00AB78E7"/>
    <w:p w14:paraId="51FFE05B" w14:textId="77777777" w:rsidR="00AB78E7" w:rsidRDefault="00AB78E7"/>
  </w:footnote>
  <w:footnote w:type="continuationSeparator" w:id="0">
    <w:p w14:paraId="4BF8FB2D" w14:textId="77777777" w:rsidR="00AB78E7" w:rsidRPr="005D7C28" w:rsidRDefault="00AB78E7" w:rsidP="005D7C28">
      <w:r>
        <w:continuationSeparator/>
      </w:r>
    </w:p>
    <w:p w14:paraId="29C8C47E" w14:textId="77777777" w:rsidR="00AB78E7" w:rsidRDefault="00AB78E7"/>
    <w:p w14:paraId="1626D2C5" w14:textId="77777777" w:rsidR="00AB78E7" w:rsidRDefault="00AB78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CD95" w14:textId="77777777" w:rsidR="00856021" w:rsidRDefault="00856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46B9" w14:textId="77777777" w:rsidR="009E7C06" w:rsidRDefault="009E7C0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49AE" w14:textId="77777777" w:rsidR="009E7C06" w:rsidRDefault="009E7C06">
    <w:pPr>
      <w:pStyle w:val="Header"/>
    </w:pPr>
  </w:p>
  <w:p w14:paraId="21C7707B" w14:textId="77777777" w:rsidR="009E7C06" w:rsidRDefault="009E7C06">
    <w:pPr>
      <w:pStyle w:val="Header"/>
    </w:pPr>
    <w:r w:rsidRPr="00A41FE4">
      <w:rPr>
        <w:noProof/>
      </w:rPr>
      <w:drawing>
        <wp:inline distT="0" distB="0" distL="0" distR="0" wp14:anchorId="0904F846" wp14:editId="1EB55C17">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9D04A5"/>
    <w:multiLevelType w:val="multilevel"/>
    <w:tmpl w:val="0DAE0F9A"/>
    <w:numStyleLink w:val="H1BL"/>
  </w:abstractNum>
  <w:abstractNum w:abstractNumId="2" w15:restartNumberingAfterBreak="0">
    <w:nsid w:val="210E5E8C"/>
    <w:multiLevelType w:val="multilevel"/>
    <w:tmpl w:val="0DAE0F9A"/>
    <w:numStyleLink w:val="H1B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530D0C"/>
    <w:multiLevelType w:val="multilevel"/>
    <w:tmpl w:val="0DAE0F9A"/>
    <w:numStyleLink w:val="H1B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35F95478"/>
    <w:multiLevelType w:val="multilevel"/>
    <w:tmpl w:val="0DAE0F9A"/>
    <w:numStyleLink w:val="H1BL"/>
  </w:abstractNum>
  <w:abstractNum w:abstractNumId="8"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37A730BB"/>
    <w:multiLevelType w:val="hybridMultilevel"/>
    <w:tmpl w:val="6848304C"/>
    <w:lvl w:ilvl="0" w:tplc="1C403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0C92C36"/>
    <w:multiLevelType w:val="multilevel"/>
    <w:tmpl w:val="0DAE0F9A"/>
    <w:numStyleLink w:val="H1BL"/>
  </w:abstractNum>
  <w:abstractNum w:abstractNumId="14" w15:restartNumberingAfterBreak="0">
    <w:nsid w:val="48576A21"/>
    <w:multiLevelType w:val="multilevel"/>
    <w:tmpl w:val="E586D9D8"/>
    <w:numStyleLink w:val="H2BL"/>
  </w:abstractNum>
  <w:abstractNum w:abstractNumId="15" w15:restartNumberingAfterBreak="0">
    <w:nsid w:val="4F1805A7"/>
    <w:multiLevelType w:val="multilevel"/>
    <w:tmpl w:val="0DAE0F9A"/>
    <w:numStyleLink w:val="H1BL"/>
  </w:abstractNum>
  <w:abstractNum w:abstractNumId="16" w15:restartNumberingAfterBreak="0">
    <w:nsid w:val="50A76F81"/>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8" w15:restartNumberingAfterBreak="0">
    <w:nsid w:val="547E22F2"/>
    <w:multiLevelType w:val="multilevel"/>
    <w:tmpl w:val="91A4CB42"/>
    <w:numStyleLink w:val="H1NL"/>
  </w:abstractNum>
  <w:abstractNum w:abstractNumId="1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EB72C8"/>
    <w:multiLevelType w:val="multilevel"/>
    <w:tmpl w:val="0DAE0F9A"/>
    <w:numStyleLink w:val="H1BL"/>
  </w:abstractNum>
  <w:abstractNum w:abstractNumId="2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3"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2100D59"/>
    <w:multiLevelType w:val="multilevel"/>
    <w:tmpl w:val="0DAE0F9A"/>
    <w:numStyleLink w:val="H1BL"/>
  </w:abstractNum>
  <w:abstractNum w:abstractNumId="25" w15:restartNumberingAfterBreak="0">
    <w:nsid w:val="72EE6542"/>
    <w:multiLevelType w:val="multilevel"/>
    <w:tmpl w:val="0DAE0F9A"/>
    <w:numStyleLink w:val="H1BL"/>
  </w:abstractNum>
  <w:abstractNum w:abstractNumId="26"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7" w15:restartNumberingAfterBreak="0">
    <w:nsid w:val="7B43171F"/>
    <w:multiLevelType w:val="multilevel"/>
    <w:tmpl w:val="91A4CB42"/>
    <w:numStyleLink w:val="H1NL"/>
  </w:abstractNum>
  <w:abstractNum w:abstractNumId="28"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7CD71152"/>
    <w:multiLevelType w:val="multilevel"/>
    <w:tmpl w:val="91A4CB42"/>
    <w:numStyleLink w:val="H1NL"/>
  </w:abstractNum>
  <w:num w:numId="1">
    <w:abstractNumId w:val="0"/>
  </w:num>
  <w:num w:numId="2">
    <w:abstractNumId w:val="26"/>
  </w:num>
  <w:num w:numId="3">
    <w:abstractNumId w:val="12"/>
  </w:num>
  <w:num w:numId="4">
    <w:abstractNumId w:val="3"/>
  </w:num>
  <w:num w:numId="5">
    <w:abstractNumId w:val="10"/>
  </w:num>
  <w:num w:numId="6">
    <w:abstractNumId w:val="19"/>
  </w:num>
  <w:num w:numId="7">
    <w:abstractNumId w:val="8"/>
  </w:num>
  <w:num w:numId="8">
    <w:abstractNumId w:val="17"/>
  </w:num>
  <w:num w:numId="9">
    <w:abstractNumId w:val="28"/>
  </w:num>
  <w:num w:numId="10">
    <w:abstractNumId w:val="6"/>
  </w:num>
  <w:num w:numId="11">
    <w:abstractNumId w:val="21"/>
  </w:num>
  <w:num w:numId="12">
    <w:abstractNumId w:val="22"/>
  </w:num>
  <w:num w:numId="13">
    <w:abstractNumId w:val="11"/>
  </w:num>
  <w:num w:numId="14">
    <w:abstractNumId w:val="5"/>
  </w:num>
  <w:num w:numId="15">
    <w:abstractNumId w:val="23"/>
  </w:num>
  <w:num w:numId="16">
    <w:abstractNumId w:val="9"/>
  </w:num>
  <w:num w:numId="17">
    <w:abstractNumId w:val="24"/>
  </w:num>
  <w:num w:numId="18">
    <w:abstractNumId w:val="13"/>
  </w:num>
  <w:num w:numId="19">
    <w:abstractNumId w:val="2"/>
  </w:num>
  <w:num w:numId="20">
    <w:abstractNumId w:val="4"/>
  </w:num>
  <w:num w:numId="21">
    <w:abstractNumId w:val="25"/>
  </w:num>
  <w:num w:numId="22">
    <w:abstractNumId w:val="1"/>
  </w:num>
  <w:num w:numId="23">
    <w:abstractNumId w:val="7"/>
  </w:num>
  <w:num w:numId="24">
    <w:abstractNumId w:val="15"/>
  </w:num>
  <w:num w:numId="25">
    <w:abstractNumId w:val="20"/>
  </w:num>
  <w:num w:numId="26">
    <w:abstractNumId w:val="18"/>
  </w:num>
  <w:num w:numId="27">
    <w:abstractNumId w:val="27"/>
  </w:num>
  <w:num w:numId="28">
    <w:abstractNumId w:val="29"/>
  </w:num>
  <w:num w:numId="29">
    <w:abstractNumId w:val="14"/>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E7"/>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31D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333E"/>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25CD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D7CC1"/>
    <w:rsid w:val="001E0BD3"/>
    <w:rsid w:val="001F2081"/>
    <w:rsid w:val="001F2D7F"/>
    <w:rsid w:val="001F6CA6"/>
    <w:rsid w:val="001F78A9"/>
    <w:rsid w:val="001F7C23"/>
    <w:rsid w:val="00200EA2"/>
    <w:rsid w:val="002057BE"/>
    <w:rsid w:val="0020604D"/>
    <w:rsid w:val="00207806"/>
    <w:rsid w:val="00220CF8"/>
    <w:rsid w:val="00225674"/>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2AA3"/>
    <w:rsid w:val="002E3CCB"/>
    <w:rsid w:val="002E5D8E"/>
    <w:rsid w:val="002F0469"/>
    <w:rsid w:val="002F100B"/>
    <w:rsid w:val="002F18C9"/>
    <w:rsid w:val="002F2370"/>
    <w:rsid w:val="002F26A1"/>
    <w:rsid w:val="002F44F3"/>
    <w:rsid w:val="002F69F7"/>
    <w:rsid w:val="003050F3"/>
    <w:rsid w:val="00317E15"/>
    <w:rsid w:val="00320005"/>
    <w:rsid w:val="003225B8"/>
    <w:rsid w:val="00322B7F"/>
    <w:rsid w:val="00334733"/>
    <w:rsid w:val="00342E7C"/>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1C13"/>
    <w:rsid w:val="003A281C"/>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34449"/>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A5BEF"/>
    <w:rsid w:val="004B019C"/>
    <w:rsid w:val="004B772D"/>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4613"/>
    <w:rsid w:val="0055693A"/>
    <w:rsid w:val="00556DC0"/>
    <w:rsid w:val="00560C1D"/>
    <w:rsid w:val="00560FA0"/>
    <w:rsid w:val="00574471"/>
    <w:rsid w:val="0058051F"/>
    <w:rsid w:val="0058435C"/>
    <w:rsid w:val="00587FEC"/>
    <w:rsid w:val="00593E43"/>
    <w:rsid w:val="005A434F"/>
    <w:rsid w:val="005A594E"/>
    <w:rsid w:val="005B18D1"/>
    <w:rsid w:val="005B2BCD"/>
    <w:rsid w:val="005C26BF"/>
    <w:rsid w:val="005C2C69"/>
    <w:rsid w:val="005D4A58"/>
    <w:rsid w:val="005D7C28"/>
    <w:rsid w:val="005E014B"/>
    <w:rsid w:val="005E3FF9"/>
    <w:rsid w:val="005F2645"/>
    <w:rsid w:val="005F26D1"/>
    <w:rsid w:val="005F5F26"/>
    <w:rsid w:val="005F6E80"/>
    <w:rsid w:val="005F7318"/>
    <w:rsid w:val="006025AF"/>
    <w:rsid w:val="00605601"/>
    <w:rsid w:val="006067EF"/>
    <w:rsid w:val="00615B15"/>
    <w:rsid w:val="00622D57"/>
    <w:rsid w:val="0062357F"/>
    <w:rsid w:val="00625F25"/>
    <w:rsid w:val="0063191E"/>
    <w:rsid w:val="006348B2"/>
    <w:rsid w:val="00636844"/>
    <w:rsid w:val="00636FA0"/>
    <w:rsid w:val="006475F6"/>
    <w:rsid w:val="00651B76"/>
    <w:rsid w:val="006537E7"/>
    <w:rsid w:val="00664F78"/>
    <w:rsid w:val="00667EDE"/>
    <w:rsid w:val="00670FF8"/>
    <w:rsid w:val="00675E56"/>
    <w:rsid w:val="00684721"/>
    <w:rsid w:val="006901B9"/>
    <w:rsid w:val="00692D36"/>
    <w:rsid w:val="006A4056"/>
    <w:rsid w:val="006A6680"/>
    <w:rsid w:val="006B286A"/>
    <w:rsid w:val="006B2FA8"/>
    <w:rsid w:val="006B37BF"/>
    <w:rsid w:val="006C1513"/>
    <w:rsid w:val="006D1594"/>
    <w:rsid w:val="006D2321"/>
    <w:rsid w:val="006D2C8E"/>
    <w:rsid w:val="006D42AC"/>
    <w:rsid w:val="006E55A7"/>
    <w:rsid w:val="006F72FA"/>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B3042"/>
    <w:rsid w:val="007C157B"/>
    <w:rsid w:val="007C3F18"/>
    <w:rsid w:val="007C6A3E"/>
    <w:rsid w:val="007C6E5F"/>
    <w:rsid w:val="007C6EE5"/>
    <w:rsid w:val="007D457B"/>
    <w:rsid w:val="007D4E08"/>
    <w:rsid w:val="007D66BF"/>
    <w:rsid w:val="007D6C29"/>
    <w:rsid w:val="007E343E"/>
    <w:rsid w:val="007E4DDD"/>
    <w:rsid w:val="007E6541"/>
    <w:rsid w:val="007F1BB3"/>
    <w:rsid w:val="0080209C"/>
    <w:rsid w:val="00811254"/>
    <w:rsid w:val="0081241F"/>
    <w:rsid w:val="008154B3"/>
    <w:rsid w:val="00816E05"/>
    <w:rsid w:val="00824F6F"/>
    <w:rsid w:val="00826733"/>
    <w:rsid w:val="00826ADC"/>
    <w:rsid w:val="008312F8"/>
    <w:rsid w:val="00831FDC"/>
    <w:rsid w:val="00833D02"/>
    <w:rsid w:val="00834FF5"/>
    <w:rsid w:val="0083633E"/>
    <w:rsid w:val="0083650A"/>
    <w:rsid w:val="00837C21"/>
    <w:rsid w:val="00840AF8"/>
    <w:rsid w:val="008438F7"/>
    <w:rsid w:val="00852B34"/>
    <w:rsid w:val="0085304B"/>
    <w:rsid w:val="00855338"/>
    <w:rsid w:val="00856021"/>
    <w:rsid w:val="00857B2F"/>
    <w:rsid w:val="008600B8"/>
    <w:rsid w:val="00862E80"/>
    <w:rsid w:val="008659D2"/>
    <w:rsid w:val="0087005A"/>
    <w:rsid w:val="0087037A"/>
    <w:rsid w:val="0087380E"/>
    <w:rsid w:val="00873D5B"/>
    <w:rsid w:val="00887BC6"/>
    <w:rsid w:val="00887D97"/>
    <w:rsid w:val="00891288"/>
    <w:rsid w:val="00892965"/>
    <w:rsid w:val="0089708F"/>
    <w:rsid w:val="008A0D9F"/>
    <w:rsid w:val="008A13F3"/>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D6315"/>
    <w:rsid w:val="008E03E0"/>
    <w:rsid w:val="008E2DC9"/>
    <w:rsid w:val="008E315B"/>
    <w:rsid w:val="008E335E"/>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597"/>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1F91"/>
    <w:rsid w:val="00A04987"/>
    <w:rsid w:val="00A05E9C"/>
    <w:rsid w:val="00A17E40"/>
    <w:rsid w:val="00A20146"/>
    <w:rsid w:val="00A214BA"/>
    <w:rsid w:val="00A220F4"/>
    <w:rsid w:val="00A224A9"/>
    <w:rsid w:val="00A23DF8"/>
    <w:rsid w:val="00A2489E"/>
    <w:rsid w:val="00A260D7"/>
    <w:rsid w:val="00A32F86"/>
    <w:rsid w:val="00A401BA"/>
    <w:rsid w:val="00A41FE4"/>
    <w:rsid w:val="00A50EFA"/>
    <w:rsid w:val="00A540D2"/>
    <w:rsid w:val="00A60B3F"/>
    <w:rsid w:val="00A66789"/>
    <w:rsid w:val="00A80842"/>
    <w:rsid w:val="00A80DB1"/>
    <w:rsid w:val="00A80F6C"/>
    <w:rsid w:val="00A862FA"/>
    <w:rsid w:val="00A90A53"/>
    <w:rsid w:val="00A93CFF"/>
    <w:rsid w:val="00A96148"/>
    <w:rsid w:val="00A96DC2"/>
    <w:rsid w:val="00AA584D"/>
    <w:rsid w:val="00AA72B8"/>
    <w:rsid w:val="00AB1CF9"/>
    <w:rsid w:val="00AB40C6"/>
    <w:rsid w:val="00AB5BA0"/>
    <w:rsid w:val="00AB7312"/>
    <w:rsid w:val="00AB78E7"/>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238"/>
    <w:rsid w:val="00AF5755"/>
    <w:rsid w:val="00AF72A3"/>
    <w:rsid w:val="00B01DA2"/>
    <w:rsid w:val="00B119CF"/>
    <w:rsid w:val="00B12489"/>
    <w:rsid w:val="00B155C1"/>
    <w:rsid w:val="00B17720"/>
    <w:rsid w:val="00B269E7"/>
    <w:rsid w:val="00B2703E"/>
    <w:rsid w:val="00B315A7"/>
    <w:rsid w:val="00B3171D"/>
    <w:rsid w:val="00B337A3"/>
    <w:rsid w:val="00B33F05"/>
    <w:rsid w:val="00B4255A"/>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A3A94"/>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3FC1"/>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84942"/>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C6A64"/>
    <w:rsid w:val="00DD0300"/>
    <w:rsid w:val="00DD2680"/>
    <w:rsid w:val="00DD5681"/>
    <w:rsid w:val="00DD5AA6"/>
    <w:rsid w:val="00DE1BD5"/>
    <w:rsid w:val="00DE2554"/>
    <w:rsid w:val="00DE61E9"/>
    <w:rsid w:val="00DE61EE"/>
    <w:rsid w:val="00DF1B3E"/>
    <w:rsid w:val="00DF33A3"/>
    <w:rsid w:val="00DF4D80"/>
    <w:rsid w:val="00E000FD"/>
    <w:rsid w:val="00E002C8"/>
    <w:rsid w:val="00E01966"/>
    <w:rsid w:val="00E04CE0"/>
    <w:rsid w:val="00E0535E"/>
    <w:rsid w:val="00E074BB"/>
    <w:rsid w:val="00E10DF2"/>
    <w:rsid w:val="00E13428"/>
    <w:rsid w:val="00E1353F"/>
    <w:rsid w:val="00E15A8A"/>
    <w:rsid w:val="00E16B8C"/>
    <w:rsid w:val="00E20D19"/>
    <w:rsid w:val="00E21A41"/>
    <w:rsid w:val="00E37A8A"/>
    <w:rsid w:val="00E42619"/>
    <w:rsid w:val="00E45249"/>
    <w:rsid w:val="00E46ACD"/>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A5449"/>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662BB"/>
    <w:rsid w:val="00F71DA9"/>
    <w:rsid w:val="00F71FF6"/>
    <w:rsid w:val="00F74B5B"/>
    <w:rsid w:val="00F84BE2"/>
    <w:rsid w:val="00F850D1"/>
    <w:rsid w:val="00F8548C"/>
    <w:rsid w:val="00F9125A"/>
    <w:rsid w:val="00F93B8D"/>
    <w:rsid w:val="00F95B00"/>
    <w:rsid w:val="00FA1F16"/>
    <w:rsid w:val="00FA2BB3"/>
    <w:rsid w:val="00FA4849"/>
    <w:rsid w:val="00FA78C6"/>
    <w:rsid w:val="00FB0CA6"/>
    <w:rsid w:val="00FB0E6D"/>
    <w:rsid w:val="00FB1FF5"/>
    <w:rsid w:val="00FB2576"/>
    <w:rsid w:val="00FB42E0"/>
    <w:rsid w:val="00FC01F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7FF709"/>
  <w15:chartTrackingRefBased/>
  <w15:docId w15:val="{100A22E5-4D45-4C4A-932F-8B7051CB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D7"/>
    <w:rPr>
      <w:rFonts w:eastAsiaTheme="minorEastAsia"/>
    </w:rPr>
  </w:style>
  <w:style w:type="paragraph" w:styleId="Heading1">
    <w:name w:val="heading 1"/>
    <w:next w:val="Normal"/>
    <w:link w:val="Heading1Char"/>
    <w:uiPriority w:val="9"/>
    <w:qFormat/>
    <w:rsid w:val="00A260D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A260D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A260D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A260D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A260D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A260D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A260D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A260D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A260D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0D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A260D7"/>
    <w:rPr>
      <w:rFonts w:eastAsiaTheme="majorEastAsia" w:cstheme="majorBidi"/>
      <w:b/>
      <w:bCs/>
      <w:i/>
      <w:iCs/>
      <w:sz w:val="28"/>
      <w:szCs w:val="28"/>
    </w:rPr>
  </w:style>
  <w:style w:type="character" w:customStyle="1" w:styleId="Heading3Char">
    <w:name w:val="Heading 3 Char"/>
    <w:basedOn w:val="DefaultParagraphFont"/>
    <w:link w:val="Heading3"/>
    <w:uiPriority w:val="2"/>
    <w:rsid w:val="00A260D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A260D7"/>
    <w:rPr>
      <w:rFonts w:eastAsiaTheme="minorEastAsia" w:cs="Times New Roman"/>
      <w:b/>
      <w:szCs w:val="24"/>
    </w:rPr>
  </w:style>
  <w:style w:type="character" w:customStyle="1" w:styleId="Heading5Char">
    <w:name w:val="Heading 5 Char"/>
    <w:basedOn w:val="DefaultParagraphFont"/>
    <w:link w:val="Heading5"/>
    <w:uiPriority w:val="9"/>
    <w:semiHidden/>
    <w:rsid w:val="00A260D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260D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260D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260D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260D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A2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D7"/>
    <w:rPr>
      <w:rFonts w:ascii="Segoe UI" w:eastAsiaTheme="minorEastAsia" w:hAnsi="Segoe UI" w:cs="Segoe UI"/>
      <w:sz w:val="18"/>
      <w:szCs w:val="18"/>
    </w:rPr>
  </w:style>
  <w:style w:type="character" w:customStyle="1" w:styleId="AllCaps">
    <w:name w:val="AllCaps"/>
    <w:uiPriority w:val="5"/>
    <w:qFormat/>
    <w:rsid w:val="00A260D7"/>
    <w:rPr>
      <w:caps/>
      <w:smallCaps w:val="0"/>
    </w:rPr>
  </w:style>
  <w:style w:type="paragraph" w:styleId="ListParagraph">
    <w:name w:val="List Paragraph"/>
    <w:basedOn w:val="Normal"/>
    <w:qFormat/>
    <w:rsid w:val="00A260D7"/>
    <w:pPr>
      <w:contextualSpacing/>
    </w:pPr>
  </w:style>
  <w:style w:type="table" w:styleId="PlainTable3">
    <w:name w:val="Plain Table 3"/>
    <w:basedOn w:val="TableNormal"/>
    <w:uiPriority w:val="43"/>
    <w:locked/>
    <w:rsid w:val="00A260D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A260D7"/>
    <w:rPr>
      <w:i/>
      <w:iCs/>
    </w:rPr>
  </w:style>
  <w:style w:type="paragraph" w:styleId="Footer">
    <w:name w:val="footer"/>
    <w:basedOn w:val="Normal"/>
    <w:link w:val="FooterChar"/>
    <w:uiPriority w:val="99"/>
    <w:unhideWhenUsed/>
    <w:rsid w:val="00A260D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260D7"/>
    <w:rPr>
      <w:rFonts w:eastAsiaTheme="minorEastAsia"/>
    </w:rPr>
  </w:style>
  <w:style w:type="numbering" w:customStyle="1" w:styleId="H1BL">
    <w:name w:val="H1BL"/>
    <w:uiPriority w:val="99"/>
    <w:rsid w:val="00A260D7"/>
    <w:pPr>
      <w:numPr>
        <w:numId w:val="3"/>
      </w:numPr>
    </w:pPr>
  </w:style>
  <w:style w:type="numbering" w:customStyle="1" w:styleId="H1NL">
    <w:name w:val="H1NL"/>
    <w:basedOn w:val="NoList"/>
    <w:uiPriority w:val="99"/>
    <w:rsid w:val="00A260D7"/>
    <w:pPr>
      <w:numPr>
        <w:numId w:val="4"/>
      </w:numPr>
    </w:pPr>
  </w:style>
  <w:style w:type="paragraph" w:styleId="Header">
    <w:name w:val="header"/>
    <w:basedOn w:val="Normal"/>
    <w:link w:val="HeaderChar"/>
    <w:uiPriority w:val="99"/>
    <w:unhideWhenUsed/>
    <w:qFormat/>
    <w:rsid w:val="00A260D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A260D7"/>
    <w:rPr>
      <w:rFonts w:eastAsiaTheme="minorEastAsia"/>
    </w:rPr>
  </w:style>
  <w:style w:type="character" w:styleId="Hyperlink">
    <w:name w:val="Hyperlink"/>
    <w:basedOn w:val="DefaultParagraphFont"/>
    <w:uiPriority w:val="99"/>
    <w:unhideWhenUsed/>
    <w:qFormat/>
    <w:rsid w:val="00A260D7"/>
    <w:rPr>
      <w:color w:val="0563C1" w:themeColor="hyperlink"/>
      <w:u w:val="single"/>
    </w:rPr>
  </w:style>
  <w:style w:type="paragraph" w:styleId="NoSpacing">
    <w:name w:val="No Spacing"/>
    <w:uiPriority w:val="1"/>
    <w:qFormat/>
    <w:rsid w:val="00A260D7"/>
    <w:pPr>
      <w:spacing w:after="0" w:line="240" w:lineRule="auto"/>
    </w:pPr>
    <w:rPr>
      <w:rFonts w:eastAsiaTheme="minorEastAsia"/>
    </w:rPr>
  </w:style>
  <w:style w:type="character" w:styleId="PlaceholderText">
    <w:name w:val="Placeholder Text"/>
    <w:basedOn w:val="DefaultParagraphFont"/>
    <w:uiPriority w:val="99"/>
    <w:semiHidden/>
    <w:rsid w:val="00A260D7"/>
    <w:rPr>
      <w:color w:val="808080"/>
    </w:rPr>
  </w:style>
  <w:style w:type="paragraph" w:styleId="Quote">
    <w:name w:val="Quote"/>
    <w:basedOn w:val="Normal"/>
    <w:next w:val="Normal"/>
    <w:link w:val="QuoteChar"/>
    <w:uiPriority w:val="29"/>
    <w:qFormat/>
    <w:rsid w:val="00A260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60D7"/>
    <w:rPr>
      <w:rFonts w:eastAsiaTheme="minorEastAsia"/>
      <w:color w:val="44546A" w:themeColor="text2"/>
      <w:sz w:val="24"/>
      <w:szCs w:val="24"/>
    </w:rPr>
  </w:style>
  <w:style w:type="character" w:styleId="Strong">
    <w:name w:val="Strong"/>
    <w:aliases w:val="bold"/>
    <w:basedOn w:val="DefaultParagraphFont"/>
    <w:uiPriority w:val="4"/>
    <w:qFormat/>
    <w:rsid w:val="00A260D7"/>
    <w:rPr>
      <w:b/>
      <w:bCs/>
    </w:rPr>
  </w:style>
  <w:style w:type="character" w:customStyle="1" w:styleId="Subscript">
    <w:name w:val="Subscript"/>
    <w:aliases w:val="sbs"/>
    <w:basedOn w:val="DefaultParagraphFont"/>
    <w:uiPriority w:val="5"/>
    <w:qFormat/>
    <w:rsid w:val="00A260D7"/>
    <w:rPr>
      <w:vertAlign w:val="subscript"/>
    </w:rPr>
  </w:style>
  <w:style w:type="paragraph" w:styleId="Subtitle">
    <w:name w:val="Subtitle"/>
    <w:basedOn w:val="Normal"/>
    <w:next w:val="Normal"/>
    <w:link w:val="SubtitleChar"/>
    <w:uiPriority w:val="6"/>
    <w:qFormat/>
    <w:rsid w:val="00A260D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A260D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A260D7"/>
    <w:rPr>
      <w:vertAlign w:val="superscript"/>
    </w:rPr>
  </w:style>
  <w:style w:type="paragraph" w:styleId="Title">
    <w:name w:val="Title"/>
    <w:basedOn w:val="Normal"/>
    <w:next w:val="Subtitle"/>
    <w:link w:val="TitleChar"/>
    <w:uiPriority w:val="6"/>
    <w:qFormat/>
    <w:rsid w:val="00A260D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A260D7"/>
    <w:rPr>
      <w:rFonts w:eastAsiaTheme="majorEastAsia" w:cstheme="majorBidi"/>
      <w:b/>
      <w:bCs/>
      <w:kern w:val="28"/>
      <w:sz w:val="36"/>
      <w:szCs w:val="32"/>
    </w:rPr>
  </w:style>
  <w:style w:type="paragraph" w:styleId="TOC1">
    <w:name w:val="toc 1"/>
    <w:basedOn w:val="Normal"/>
    <w:next w:val="Normal"/>
    <w:uiPriority w:val="39"/>
    <w:unhideWhenUsed/>
    <w:qFormat/>
    <w:rsid w:val="00A260D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A260D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A260D7"/>
    <w:pPr>
      <w:spacing w:before="120"/>
      <w:outlineLvl w:val="9"/>
    </w:pPr>
  </w:style>
  <w:style w:type="table" w:styleId="TableGrid">
    <w:name w:val="Table Grid"/>
    <w:basedOn w:val="TableNormal"/>
    <w:uiPriority w:val="39"/>
    <w:locked/>
    <w:rsid w:val="00A2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A260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A260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A260D7"/>
    <w:pPr>
      <w:jc w:val="center"/>
    </w:pPr>
  </w:style>
  <w:style w:type="paragraph" w:customStyle="1" w:styleId="NormalFont9">
    <w:name w:val="NormalFont 9"/>
    <w:aliases w:val="nf"/>
    <w:basedOn w:val="Normal"/>
    <w:qFormat/>
    <w:rsid w:val="00A260D7"/>
    <w:rPr>
      <w:sz w:val="18"/>
      <w:szCs w:val="18"/>
    </w:rPr>
  </w:style>
  <w:style w:type="table" w:styleId="PlainTable1">
    <w:name w:val="Plain Table 1"/>
    <w:basedOn w:val="TableNormal"/>
    <w:uiPriority w:val="41"/>
    <w:locked/>
    <w:rsid w:val="00A260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A260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A260D7"/>
    <w:rPr>
      <w:rFonts w:asciiTheme="minorHAnsi" w:hAnsiTheme="minorHAnsi"/>
      <w:i/>
      <w:sz w:val="22"/>
      <w:u w:val="single"/>
    </w:rPr>
  </w:style>
  <w:style w:type="paragraph" w:customStyle="1" w:styleId="LDApprovalld">
    <w:name w:val="LD Approvalld"/>
    <w:basedOn w:val="Normal"/>
    <w:uiPriority w:val="6"/>
    <w:qFormat/>
    <w:rsid w:val="00A260D7"/>
    <w:rPr>
      <w:b/>
      <w:i/>
      <w:color w:val="FF0000"/>
      <w:sz w:val="28"/>
      <w:szCs w:val="28"/>
    </w:rPr>
  </w:style>
  <w:style w:type="character" w:styleId="CommentReference">
    <w:name w:val="annotation reference"/>
    <w:basedOn w:val="DefaultParagraphFont"/>
    <w:uiPriority w:val="99"/>
    <w:semiHidden/>
    <w:unhideWhenUsed/>
    <w:rsid w:val="00A260D7"/>
    <w:rPr>
      <w:sz w:val="16"/>
      <w:szCs w:val="16"/>
    </w:rPr>
  </w:style>
  <w:style w:type="paragraph" w:styleId="CommentText">
    <w:name w:val="annotation text"/>
    <w:basedOn w:val="Normal"/>
    <w:link w:val="CommentTextChar"/>
    <w:uiPriority w:val="99"/>
    <w:semiHidden/>
    <w:unhideWhenUsed/>
    <w:rsid w:val="00A260D7"/>
    <w:rPr>
      <w:sz w:val="20"/>
      <w:szCs w:val="20"/>
    </w:rPr>
  </w:style>
  <w:style w:type="character" w:customStyle="1" w:styleId="CommentTextChar">
    <w:name w:val="Comment Text Char"/>
    <w:basedOn w:val="DefaultParagraphFont"/>
    <w:link w:val="CommentText"/>
    <w:uiPriority w:val="99"/>
    <w:semiHidden/>
    <w:rsid w:val="00A260D7"/>
    <w:rPr>
      <w:rFonts w:eastAsiaTheme="minorEastAsia"/>
      <w:sz w:val="20"/>
      <w:szCs w:val="20"/>
    </w:rPr>
  </w:style>
  <w:style w:type="paragraph" w:styleId="ListBullet">
    <w:name w:val="List Bullet"/>
    <w:basedOn w:val="Normal"/>
    <w:uiPriority w:val="99"/>
    <w:unhideWhenUsed/>
    <w:locked/>
    <w:rsid w:val="00A260D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A260D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A260D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A260D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A260D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A260D7"/>
    <w:pPr>
      <w:spacing w:after="0"/>
      <w:ind w:left="660"/>
    </w:pPr>
    <w:rPr>
      <w:sz w:val="18"/>
      <w:szCs w:val="18"/>
    </w:rPr>
  </w:style>
  <w:style w:type="paragraph" w:styleId="TOC5">
    <w:name w:val="toc 5"/>
    <w:basedOn w:val="Normal"/>
    <w:next w:val="Normal"/>
    <w:autoRedefine/>
    <w:uiPriority w:val="39"/>
    <w:unhideWhenUsed/>
    <w:locked/>
    <w:rsid w:val="00A260D7"/>
    <w:pPr>
      <w:spacing w:after="0"/>
      <w:ind w:left="880"/>
    </w:pPr>
    <w:rPr>
      <w:sz w:val="18"/>
      <w:szCs w:val="18"/>
    </w:rPr>
  </w:style>
  <w:style w:type="paragraph" w:styleId="TOC6">
    <w:name w:val="toc 6"/>
    <w:basedOn w:val="Normal"/>
    <w:next w:val="Normal"/>
    <w:autoRedefine/>
    <w:uiPriority w:val="39"/>
    <w:unhideWhenUsed/>
    <w:locked/>
    <w:rsid w:val="00A260D7"/>
    <w:pPr>
      <w:spacing w:after="0"/>
      <w:ind w:left="1100"/>
    </w:pPr>
    <w:rPr>
      <w:sz w:val="18"/>
      <w:szCs w:val="18"/>
    </w:rPr>
  </w:style>
  <w:style w:type="paragraph" w:styleId="TOC7">
    <w:name w:val="toc 7"/>
    <w:basedOn w:val="Normal"/>
    <w:next w:val="Normal"/>
    <w:autoRedefine/>
    <w:uiPriority w:val="39"/>
    <w:unhideWhenUsed/>
    <w:locked/>
    <w:rsid w:val="00A260D7"/>
    <w:pPr>
      <w:spacing w:after="0"/>
      <w:ind w:left="1320"/>
    </w:pPr>
    <w:rPr>
      <w:sz w:val="18"/>
      <w:szCs w:val="18"/>
    </w:rPr>
  </w:style>
  <w:style w:type="paragraph" w:styleId="TOC8">
    <w:name w:val="toc 8"/>
    <w:basedOn w:val="Normal"/>
    <w:next w:val="Normal"/>
    <w:autoRedefine/>
    <w:uiPriority w:val="39"/>
    <w:unhideWhenUsed/>
    <w:locked/>
    <w:rsid w:val="00A260D7"/>
    <w:pPr>
      <w:spacing w:after="0"/>
      <w:ind w:left="1540"/>
    </w:pPr>
    <w:rPr>
      <w:sz w:val="18"/>
      <w:szCs w:val="18"/>
    </w:rPr>
  </w:style>
  <w:style w:type="paragraph" w:styleId="TOC9">
    <w:name w:val="toc 9"/>
    <w:basedOn w:val="Normal"/>
    <w:next w:val="Normal"/>
    <w:autoRedefine/>
    <w:uiPriority w:val="39"/>
    <w:unhideWhenUsed/>
    <w:locked/>
    <w:rsid w:val="00A260D7"/>
    <w:pPr>
      <w:spacing w:after="0"/>
      <w:ind w:left="1760"/>
    </w:pPr>
    <w:rPr>
      <w:sz w:val="18"/>
      <w:szCs w:val="18"/>
    </w:rPr>
  </w:style>
  <w:style w:type="paragraph" w:customStyle="1" w:styleId="CellNormal">
    <w:name w:val="Cell Normal"/>
    <w:qFormat/>
    <w:rsid w:val="00A260D7"/>
    <w:pPr>
      <w:spacing w:after="0"/>
    </w:pPr>
    <w:rPr>
      <w:rFonts w:eastAsiaTheme="minorEastAsia"/>
    </w:rPr>
  </w:style>
  <w:style w:type="numbering" w:customStyle="1" w:styleId="H1CL">
    <w:name w:val="H1CL"/>
    <w:uiPriority w:val="99"/>
    <w:rsid w:val="00A260D7"/>
    <w:pPr>
      <w:numPr>
        <w:numId w:val="2"/>
      </w:numPr>
    </w:pPr>
  </w:style>
  <w:style w:type="table" w:customStyle="1" w:styleId="Proof-Trg">
    <w:name w:val="Proof-Trg"/>
    <w:basedOn w:val="TableNormal"/>
    <w:uiPriority w:val="99"/>
    <w:rsid w:val="00A2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A260D7"/>
    <w:pPr>
      <w:spacing w:after="0"/>
    </w:pPr>
    <w:rPr>
      <w:sz w:val="18"/>
    </w:rPr>
  </w:style>
  <w:style w:type="paragraph" w:customStyle="1" w:styleId="RevDate">
    <w:name w:val="RevDate"/>
    <w:basedOn w:val="Normal"/>
    <w:next w:val="NoSpacing"/>
    <w:link w:val="RevDateChar"/>
    <w:qFormat/>
    <w:rsid w:val="00A260D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A260D7"/>
    <w:rPr>
      <w:rFonts w:eastAsiaTheme="minorEastAsia" w:cs="Times New Roman"/>
      <w:szCs w:val="24"/>
    </w:rPr>
  </w:style>
  <w:style w:type="character" w:styleId="FollowedHyperlink">
    <w:name w:val="FollowedHyperlink"/>
    <w:basedOn w:val="DefaultParagraphFont"/>
    <w:uiPriority w:val="99"/>
    <w:semiHidden/>
    <w:unhideWhenUsed/>
    <w:rsid w:val="00A260D7"/>
    <w:rPr>
      <w:color w:val="954F72" w:themeColor="followedHyperlink"/>
      <w:u w:val="single"/>
    </w:rPr>
  </w:style>
  <w:style w:type="paragraph" w:customStyle="1" w:styleId="IssueDate">
    <w:name w:val="IssueDate"/>
    <w:basedOn w:val="Normal"/>
    <w:next w:val="RevDate"/>
    <w:link w:val="IssueDateChar"/>
    <w:uiPriority w:val="6"/>
    <w:qFormat/>
    <w:rsid w:val="00A260D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A260D7"/>
    <w:rPr>
      <w:rFonts w:eastAsiaTheme="minorEastAsia" w:cs="Times New Roman"/>
      <w:szCs w:val="24"/>
    </w:rPr>
  </w:style>
  <w:style w:type="paragraph" w:customStyle="1" w:styleId="Appendix">
    <w:name w:val="Appendix"/>
    <w:basedOn w:val="Title"/>
    <w:next w:val="Subtitle"/>
    <w:qFormat/>
    <w:rsid w:val="00A260D7"/>
    <w:pPr>
      <w:numPr>
        <w:numId w:val="5"/>
      </w:numPr>
    </w:pPr>
  </w:style>
  <w:style w:type="paragraph" w:customStyle="1" w:styleId="Attachment">
    <w:name w:val="Attachment"/>
    <w:basedOn w:val="Appendix"/>
    <w:next w:val="Subtitle"/>
    <w:qFormat/>
    <w:rsid w:val="00A260D7"/>
    <w:pPr>
      <w:numPr>
        <w:numId w:val="6"/>
      </w:numPr>
      <w:ind w:left="0"/>
    </w:pPr>
  </w:style>
  <w:style w:type="paragraph" w:customStyle="1" w:styleId="SOPDescr">
    <w:name w:val="SOPDescr"/>
    <w:basedOn w:val="Normal"/>
    <w:next w:val="Normal"/>
    <w:qFormat/>
    <w:rsid w:val="00A260D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A260D7"/>
    <w:pPr>
      <w:jc w:val="center"/>
    </w:pPr>
    <w:rPr>
      <w:sz w:val="22"/>
      <w:szCs w:val="22"/>
    </w:rPr>
  </w:style>
  <w:style w:type="numbering" w:customStyle="1" w:styleId="H2BL">
    <w:name w:val="H2BL"/>
    <w:uiPriority w:val="99"/>
    <w:rsid w:val="00A260D7"/>
    <w:pPr>
      <w:numPr>
        <w:numId w:val="7"/>
      </w:numPr>
    </w:pPr>
  </w:style>
  <w:style w:type="numbering" w:customStyle="1" w:styleId="H2CL">
    <w:name w:val="H2CL"/>
    <w:uiPriority w:val="99"/>
    <w:rsid w:val="00A260D7"/>
    <w:pPr>
      <w:numPr>
        <w:numId w:val="8"/>
      </w:numPr>
    </w:pPr>
  </w:style>
  <w:style w:type="numbering" w:customStyle="1" w:styleId="H2NL">
    <w:name w:val="H2NL"/>
    <w:uiPriority w:val="99"/>
    <w:rsid w:val="00A260D7"/>
  </w:style>
  <w:style w:type="numbering" w:customStyle="1" w:styleId="H3BL">
    <w:name w:val="H3BL"/>
    <w:uiPriority w:val="99"/>
    <w:rsid w:val="00A260D7"/>
    <w:pPr>
      <w:numPr>
        <w:numId w:val="10"/>
      </w:numPr>
    </w:pPr>
  </w:style>
  <w:style w:type="numbering" w:customStyle="1" w:styleId="H3CL">
    <w:name w:val="H3CL"/>
    <w:uiPriority w:val="99"/>
    <w:rsid w:val="00A260D7"/>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A260D7"/>
    <w:pPr>
      <w:numPr>
        <w:numId w:val="12"/>
      </w:numPr>
    </w:pPr>
  </w:style>
  <w:style w:type="numbering" w:customStyle="1" w:styleId="H4CL">
    <w:name w:val="H4CL"/>
    <w:uiPriority w:val="99"/>
    <w:rsid w:val="00A260D7"/>
    <w:pPr>
      <w:numPr>
        <w:numId w:val="13"/>
      </w:numPr>
    </w:pPr>
  </w:style>
  <w:style w:type="numbering" w:customStyle="1" w:styleId="H4NL">
    <w:name w:val="H4NL"/>
    <w:uiPriority w:val="99"/>
    <w:rsid w:val="00A260D7"/>
    <w:pPr>
      <w:numPr>
        <w:numId w:val="14"/>
      </w:numPr>
    </w:pPr>
  </w:style>
  <w:style w:type="numbering" w:customStyle="1" w:styleId="H3NL0">
    <w:name w:val="H3NL"/>
    <w:uiPriority w:val="99"/>
    <w:rsid w:val="00A260D7"/>
    <w:pPr>
      <w:numPr>
        <w:numId w:val="9"/>
      </w:numPr>
    </w:pPr>
  </w:style>
  <w:style w:type="paragraph" w:customStyle="1" w:styleId="25NormaIndent">
    <w:name w:val=".25 Norma Indent"/>
    <w:basedOn w:val="Normal"/>
    <w:next w:val="ListParagraph"/>
    <w:qFormat/>
    <w:rsid w:val="00A260D7"/>
    <w:pPr>
      <w:ind w:left="360"/>
    </w:pPr>
  </w:style>
  <w:style w:type="paragraph" w:customStyle="1" w:styleId="5NormalIndent">
    <w:name w:val=".5 Normal Indent"/>
    <w:basedOn w:val="Normal"/>
    <w:next w:val="ListParagraph"/>
    <w:qFormat/>
    <w:rsid w:val="00A260D7"/>
    <w:pPr>
      <w:ind w:left="720"/>
    </w:pPr>
  </w:style>
  <w:style w:type="paragraph" w:customStyle="1" w:styleId="Body">
    <w:name w:val="Body"/>
    <w:basedOn w:val="Normal"/>
    <w:qFormat/>
    <w:rsid w:val="00A260D7"/>
    <w:pPr>
      <w:spacing w:after="0" w:line="240" w:lineRule="auto"/>
    </w:pPr>
  </w:style>
  <w:style w:type="paragraph" w:styleId="CommentSubject">
    <w:name w:val="annotation subject"/>
    <w:basedOn w:val="CommentText"/>
    <w:next w:val="CommentText"/>
    <w:link w:val="CommentSubjectChar"/>
    <w:uiPriority w:val="99"/>
    <w:semiHidden/>
    <w:unhideWhenUsed/>
    <w:rsid w:val="00A260D7"/>
    <w:pPr>
      <w:spacing w:line="240" w:lineRule="auto"/>
    </w:pPr>
    <w:rPr>
      <w:b/>
      <w:bCs/>
    </w:rPr>
  </w:style>
  <w:style w:type="character" w:customStyle="1" w:styleId="CommentSubjectChar">
    <w:name w:val="Comment Subject Char"/>
    <w:basedOn w:val="CommentTextChar"/>
    <w:link w:val="CommentSubject"/>
    <w:uiPriority w:val="99"/>
    <w:semiHidden/>
    <w:rsid w:val="00A260D7"/>
    <w:rPr>
      <w:rFonts w:eastAsiaTheme="minorEastAsia"/>
      <w:b/>
      <w:bCs/>
      <w:sz w:val="20"/>
      <w:szCs w:val="20"/>
    </w:rPr>
  </w:style>
  <w:style w:type="paragraph" w:styleId="NormalWeb">
    <w:name w:val="Normal (Web)"/>
    <w:basedOn w:val="Normal"/>
    <w:uiPriority w:val="99"/>
    <w:unhideWhenUsed/>
    <w:rsid w:val="008E335E"/>
    <w:pPr>
      <w:overflowPunct w:val="0"/>
      <w:autoSpaceDE w:val="0"/>
      <w:autoSpaceDN w:val="0"/>
      <w:adjustRightInd w:val="0"/>
      <w:spacing w:before="100" w:after="100" w:line="240" w:lineRule="auto"/>
    </w:pPr>
    <w:rPr>
      <w:rFonts w:ascii="Arial Unicode MS" w:eastAsia="Arial Unicode MS" w:hAnsi="Times New Roman" w:cs="Times New Roman"/>
      <w:sz w:val="24"/>
      <w:szCs w:val="20"/>
    </w:rPr>
  </w:style>
  <w:style w:type="character" w:customStyle="1" w:styleId="apple-converted-space">
    <w:name w:val="apple-converted-space"/>
    <w:basedOn w:val="DefaultParagraphFont"/>
    <w:rsid w:val="0081241F"/>
  </w:style>
  <w:style w:type="paragraph" w:customStyle="1" w:styleId="Default">
    <w:name w:val="Default"/>
    <w:rsid w:val="00A90A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4613"/>
    <w:pPr>
      <w:widowControl w:val="0"/>
      <w:autoSpaceDE w:val="0"/>
      <w:autoSpaceDN w:val="0"/>
      <w:spacing w:after="0" w:line="268" w:lineRule="exact"/>
      <w:ind w:left="107"/>
    </w:pPr>
    <w:rPr>
      <w:rFonts w:ascii="Calibri" w:eastAsia="Calibri" w:hAnsi="Calibri" w:cs="Calibri"/>
    </w:rPr>
  </w:style>
  <w:style w:type="paragraph" w:styleId="Bibliography">
    <w:name w:val="Bibliography"/>
    <w:basedOn w:val="Normal"/>
    <w:next w:val="Normal"/>
    <w:uiPriority w:val="37"/>
    <w:unhideWhenUsed/>
    <w:locked/>
    <w:rsid w:val="004A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364">
      <w:bodyDiv w:val="1"/>
      <w:marLeft w:val="0"/>
      <w:marRight w:val="0"/>
      <w:marTop w:val="0"/>
      <w:marBottom w:val="0"/>
      <w:divBdr>
        <w:top w:val="none" w:sz="0" w:space="0" w:color="auto"/>
        <w:left w:val="none" w:sz="0" w:space="0" w:color="auto"/>
        <w:bottom w:val="none" w:sz="0" w:space="0" w:color="auto"/>
        <w:right w:val="none" w:sz="0" w:space="0" w:color="auto"/>
      </w:divBdr>
    </w:div>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62115374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799423624">
      <w:bodyDiv w:val="1"/>
      <w:marLeft w:val="0"/>
      <w:marRight w:val="0"/>
      <w:marTop w:val="0"/>
      <w:marBottom w:val="0"/>
      <w:divBdr>
        <w:top w:val="none" w:sz="0" w:space="0" w:color="auto"/>
        <w:left w:val="none" w:sz="0" w:space="0" w:color="auto"/>
        <w:bottom w:val="none" w:sz="0" w:space="0" w:color="auto"/>
        <w:right w:val="none" w:sz="0" w:space="0" w:color="auto"/>
      </w:divBdr>
    </w:div>
    <w:div w:id="833952845">
      <w:bodyDiv w:val="1"/>
      <w:marLeft w:val="0"/>
      <w:marRight w:val="0"/>
      <w:marTop w:val="0"/>
      <w:marBottom w:val="0"/>
      <w:divBdr>
        <w:top w:val="none" w:sz="0" w:space="0" w:color="auto"/>
        <w:left w:val="none" w:sz="0" w:space="0" w:color="auto"/>
        <w:bottom w:val="none" w:sz="0" w:space="0" w:color="auto"/>
        <w:right w:val="none" w:sz="0" w:space="0" w:color="auto"/>
      </w:divBdr>
      <w:divsChild>
        <w:div w:id="387538585">
          <w:marLeft w:val="0"/>
          <w:marRight w:val="0"/>
          <w:marTop w:val="0"/>
          <w:marBottom w:val="0"/>
          <w:divBdr>
            <w:top w:val="none" w:sz="0" w:space="0" w:color="auto"/>
            <w:left w:val="none" w:sz="0" w:space="0" w:color="auto"/>
            <w:bottom w:val="none" w:sz="0" w:space="0" w:color="auto"/>
            <w:right w:val="none" w:sz="0" w:space="0" w:color="auto"/>
          </w:divBdr>
          <w:divsChild>
            <w:div w:id="1625427629">
              <w:marLeft w:val="0"/>
              <w:marRight w:val="0"/>
              <w:marTop w:val="0"/>
              <w:marBottom w:val="0"/>
              <w:divBdr>
                <w:top w:val="none" w:sz="0" w:space="0" w:color="auto"/>
                <w:left w:val="none" w:sz="0" w:space="0" w:color="auto"/>
                <w:bottom w:val="none" w:sz="0" w:space="0" w:color="auto"/>
                <w:right w:val="none" w:sz="0" w:space="0" w:color="auto"/>
              </w:divBdr>
              <w:divsChild>
                <w:div w:id="775177642">
                  <w:marLeft w:val="0"/>
                  <w:marRight w:val="0"/>
                  <w:marTop w:val="0"/>
                  <w:marBottom w:val="0"/>
                  <w:divBdr>
                    <w:top w:val="none" w:sz="0" w:space="0" w:color="auto"/>
                    <w:left w:val="none" w:sz="0" w:space="0" w:color="auto"/>
                    <w:bottom w:val="none" w:sz="0" w:space="0" w:color="auto"/>
                    <w:right w:val="none" w:sz="0" w:space="0" w:color="auto"/>
                  </w:divBdr>
                </w:div>
                <w:div w:id="12299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201478736">
      <w:bodyDiv w:val="1"/>
      <w:marLeft w:val="0"/>
      <w:marRight w:val="0"/>
      <w:marTop w:val="0"/>
      <w:marBottom w:val="0"/>
      <w:divBdr>
        <w:top w:val="none" w:sz="0" w:space="0" w:color="auto"/>
        <w:left w:val="none" w:sz="0" w:space="0" w:color="auto"/>
        <w:bottom w:val="none" w:sz="0" w:space="0" w:color="auto"/>
        <w:right w:val="none" w:sz="0" w:space="0" w:color="auto"/>
      </w:divBdr>
    </w:div>
    <w:div w:id="1306203215">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541742964">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990937775">
      <w:bodyDiv w:val="1"/>
      <w:marLeft w:val="0"/>
      <w:marRight w:val="0"/>
      <w:marTop w:val="0"/>
      <w:marBottom w:val="0"/>
      <w:divBdr>
        <w:top w:val="none" w:sz="0" w:space="0" w:color="auto"/>
        <w:left w:val="none" w:sz="0" w:space="0" w:color="auto"/>
        <w:bottom w:val="none" w:sz="0" w:space="0" w:color="auto"/>
        <w:right w:val="none" w:sz="0" w:space="0" w:color="auto"/>
      </w:divBdr>
      <w:divsChild>
        <w:div w:id="1070540082">
          <w:marLeft w:val="0"/>
          <w:marRight w:val="0"/>
          <w:marTop w:val="0"/>
          <w:marBottom w:val="0"/>
          <w:divBdr>
            <w:top w:val="none" w:sz="0" w:space="0" w:color="auto"/>
            <w:left w:val="none" w:sz="0" w:space="0" w:color="auto"/>
            <w:bottom w:val="none" w:sz="0" w:space="0" w:color="auto"/>
            <w:right w:val="none" w:sz="0" w:space="0" w:color="auto"/>
          </w:divBdr>
          <w:divsChild>
            <w:div w:id="719862546">
              <w:marLeft w:val="0"/>
              <w:marRight w:val="0"/>
              <w:marTop w:val="0"/>
              <w:marBottom w:val="0"/>
              <w:divBdr>
                <w:top w:val="none" w:sz="0" w:space="0" w:color="auto"/>
                <w:left w:val="none" w:sz="0" w:space="0" w:color="auto"/>
                <w:bottom w:val="none" w:sz="0" w:space="0" w:color="auto"/>
                <w:right w:val="none" w:sz="0" w:space="0" w:color="auto"/>
              </w:divBdr>
              <w:divsChild>
                <w:div w:id="699404996">
                  <w:marLeft w:val="0"/>
                  <w:marRight w:val="0"/>
                  <w:marTop w:val="0"/>
                  <w:marBottom w:val="0"/>
                  <w:divBdr>
                    <w:top w:val="none" w:sz="0" w:space="0" w:color="auto"/>
                    <w:left w:val="none" w:sz="0" w:space="0" w:color="auto"/>
                    <w:bottom w:val="none" w:sz="0" w:space="0" w:color="auto"/>
                    <w:right w:val="none" w:sz="0" w:space="0" w:color="auto"/>
                  </w:divBdr>
                </w:div>
                <w:div w:id="12934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yperlink" Target="https://ehs.umich.edu/wp-content/uploads/2021/02/PPE-Hazard-Assessment.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ap.edu/openbook.php?record_id=4911&amp;page=4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iosh/npg/npgd060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hs.umich.edu/haz-waste/" TargetMode="External"/><Relationship Id="rId23" Type="http://schemas.openxmlformats.org/officeDocument/2006/relationships/glossaryDocument" Target="glossary/document.xml"/><Relationship Id="rId10" Type="http://schemas.openxmlformats.org/officeDocument/2006/relationships/hyperlink" Target="https://ehs.umich.edu/wp-content/uploads/2016/02/PeroxideFormingChemical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ehs.umich.edu/research-clinical/planning-safe-research/glove-compatibility-char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B1F78E861489F948DA97EEBE525DE"/>
        <w:category>
          <w:name w:val="General"/>
          <w:gallery w:val="placeholder"/>
        </w:category>
        <w:types>
          <w:type w:val="bbPlcHdr"/>
        </w:types>
        <w:behaviors>
          <w:behavior w:val="content"/>
        </w:behaviors>
        <w:guid w:val="{62347F0C-CD96-4774-AA82-48B292CD92F8}"/>
      </w:docPartPr>
      <w:docPartBody>
        <w:p w:rsidR="002E2C4E" w:rsidRDefault="00467EA7">
          <w:pPr>
            <w:pStyle w:val="530B1F78E861489F948DA97EEBE525DE"/>
          </w:pPr>
          <w:r w:rsidRPr="008F7A29">
            <w:rPr>
              <w:rStyle w:val="PlaceholderText"/>
            </w:rPr>
            <w:t>Click or tap here to enter text.</w:t>
          </w:r>
        </w:p>
      </w:docPartBody>
    </w:docPart>
    <w:docPart>
      <w:docPartPr>
        <w:name w:val="CC23342D8CEA434885CBE2ED8570C9FC"/>
        <w:category>
          <w:name w:val="General"/>
          <w:gallery w:val="placeholder"/>
        </w:category>
        <w:types>
          <w:type w:val="bbPlcHdr"/>
        </w:types>
        <w:behaviors>
          <w:behavior w:val="content"/>
        </w:behaviors>
        <w:guid w:val="{71228A9B-8DA1-44C7-8ED6-712577C6A327}"/>
      </w:docPartPr>
      <w:docPartBody>
        <w:p w:rsidR="002E2C4E" w:rsidRDefault="00467EA7">
          <w:pPr>
            <w:pStyle w:val="CC23342D8CEA434885CBE2ED8570C9FC"/>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DAAAAFB-84B3-4950-83F4-9C07E294CF4E}"/>
      </w:docPartPr>
      <w:docPartBody>
        <w:p w:rsidR="00266D51" w:rsidRDefault="005A143C">
          <w:r w:rsidRPr="00945B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A7"/>
    <w:rsid w:val="00077474"/>
    <w:rsid w:val="000A1915"/>
    <w:rsid w:val="000A2936"/>
    <w:rsid w:val="00233FD7"/>
    <w:rsid w:val="00266D51"/>
    <w:rsid w:val="002E2C4E"/>
    <w:rsid w:val="00467EA7"/>
    <w:rsid w:val="00517E55"/>
    <w:rsid w:val="005A143C"/>
    <w:rsid w:val="00A54E2F"/>
    <w:rsid w:val="00BC6F20"/>
    <w:rsid w:val="00DD074E"/>
    <w:rsid w:val="00E92071"/>
    <w:rsid w:val="00F1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43C"/>
    <w:rPr>
      <w:color w:val="808080"/>
    </w:rPr>
  </w:style>
  <w:style w:type="paragraph" w:customStyle="1" w:styleId="530B1F78E861489F948DA97EEBE525DE">
    <w:name w:val="530B1F78E861489F948DA97EEBE525DE"/>
  </w:style>
  <w:style w:type="paragraph" w:customStyle="1" w:styleId="CC23342D8CEA434885CBE2ED8570C9FC">
    <w:name w:val="CC23342D8CEA434885CBE2ED8570C9FC"/>
  </w:style>
  <w:style w:type="paragraph" w:customStyle="1" w:styleId="E1E6B83811554ED2ADF8395E5590B72E">
    <w:name w:val="E1E6B83811554ED2ADF8395E5590B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Pub</b:Tag>
    <b:SourceType>InternetSite</b:SourceType>
    <b:Guid>{348085A0-1EAD-47EB-BE00-A546289AE841}</b:Guid>
    <b:Title>PubChem Compound Summary for CID 8028, Tetrahydrofuran</b:Title>
    <b:InternetSiteTitle>National Center for Biotechnology Information</b:InternetSiteTitle>
    <b:URL>https://pubchem.ncbi.nlm.nih.gov/compound/Tetrahydrofuran</b:URL>
    <b:YearAccessed>2022</b:YearAccessed>
    <b:MonthAccessed>April</b:MonthAccessed>
    <b:DayAccessed>22</b:DayAccessed>
    <b:RefOrder>1</b:RefOrder>
  </b:Source>
  <b:Source>
    <b:Tag>NIO</b:Tag>
    <b:SourceType>InternetSite</b:SourceType>
    <b:Guid>{A6B68C8D-47C8-4752-8411-4B7B38189ED7}</b:Guid>
    <b:Title>NIOSH Pocket Guide to Chemcial Hazards</b:Title>
    <b:InternetSiteTitle>The National Institute for Occupational Safety and Health (NIOSH) Tetrahydrofuran</b:InternetSiteTitle>
    <b:URL>https://www.cdc.gov/niosh/npg/npgd0602.html</b:URL>
    <b:YearAccessed>2022</b:YearAccessed>
    <b:MonthAccessed>April</b:MonthAccessed>
    <b:DayAccessed>22</b:DayAccessed>
    <b:RefOrder>2</b:RefOrder>
  </b:Source>
  <b:Source>
    <b:Tag>Pru95</b:Tag>
    <b:SourceType>BookSection</b:SourceType>
    <b:Guid>{07AE0480-88FC-4F1F-9387-DC2BCAB544E3}</b:Guid>
    <b:Title>Prudent Practices in the Laboratory: Handling and Disposal of Chemicals</b:Title>
    <b:Year>1995</b:Year>
    <b:URL>https://nap.nationalacademies.org/read/4911/chapter/14#405</b:URL>
    <b:City>Washington, DC</b:City>
    <b:Publisher>The National Academies Press</b:Publisher>
    <b:DOI>10.17226/4911</b:DOI>
    <b:Pages>402</b:Pages>
    <b:RefOrder>3</b:RefOrder>
  </b:Source>
</b:Sources>
</file>

<file path=customXml/itemProps1.xml><?xml version="1.0" encoding="utf-8"?>
<ds:datastoreItem xmlns:ds="http://schemas.openxmlformats.org/officeDocument/2006/customXml" ds:itemID="{DFEB0B2D-3ABF-468E-86D6-CABCC33E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815</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10</cp:revision>
  <cp:lastPrinted>2017-08-16T12:05:00Z</cp:lastPrinted>
  <dcterms:created xsi:type="dcterms:W3CDTF">2020-05-19T20:24:00Z</dcterms:created>
  <dcterms:modified xsi:type="dcterms:W3CDTF">2022-09-13T12:01:00Z</dcterms:modified>
</cp:coreProperties>
</file>